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93A3C" w:rsidRPr="006E2462" w14:paraId="21716341" w14:textId="77777777" w:rsidTr="00221E46">
        <w:tc>
          <w:tcPr>
            <w:tcW w:w="9360" w:type="dxa"/>
            <w:vAlign w:val="center"/>
          </w:tcPr>
          <w:bookmarkStart w:id="0" w:name="_Hlk198191518"/>
          <w:p w14:paraId="294D9C49" w14:textId="77777777" w:rsidR="00693A3C" w:rsidRPr="006E2462" w:rsidRDefault="00693A3C" w:rsidP="006F2976">
            <w:pPr>
              <w:ind w:left="-113"/>
              <w:jc w:val="both"/>
              <w:rPr>
                <w:rFonts w:ascii="Calibri" w:hAnsi="Calibri" w:cs="Calibri"/>
                <w:b/>
                <w:bCs/>
                <w:color w:val="FFFFFF" w:themeColor="background1"/>
                <w:sz w:val="28"/>
                <w:szCs w:val="28"/>
              </w:rPr>
            </w:pPr>
            <w:r w:rsidRPr="006E2462">
              <w:rPr>
                <w:rFonts w:ascii="Calibri" w:hAnsi="Calibri" w:cs="Calibri"/>
                <w:b/>
                <w:bCs/>
                <w:noProof/>
                <w:color w:val="FFFFFF" w:themeColor="background1"/>
                <w:sz w:val="28"/>
                <w:szCs w:val="28"/>
              </w:rPr>
              <mc:AlternateContent>
                <mc:Choice Requires="wps">
                  <w:drawing>
                    <wp:anchor distT="0" distB="0" distL="114300" distR="114300" simplePos="0" relativeHeight="251659264" behindDoc="0" locked="0" layoutInCell="1" allowOverlap="1" wp14:anchorId="7A40126E" wp14:editId="071003C5">
                      <wp:simplePos x="0" y="0"/>
                      <wp:positionH relativeFrom="column">
                        <wp:posOffset>-59055</wp:posOffset>
                      </wp:positionH>
                      <wp:positionV relativeFrom="paragraph">
                        <wp:posOffset>409575</wp:posOffset>
                      </wp:positionV>
                      <wp:extent cx="5925185" cy="390525"/>
                      <wp:effectExtent l="0" t="0" r="0" b="9525"/>
                      <wp:wrapNone/>
                      <wp:docPr id="12" name="TextBox 11">
                        <a:extLst xmlns:a="http://schemas.openxmlformats.org/drawingml/2006/main">
                          <a:ext uri="{FF2B5EF4-FFF2-40B4-BE49-F238E27FC236}">
                            <a16:creationId xmlns:a16="http://schemas.microsoft.com/office/drawing/2014/main" id="{DB0C1A60-ECD4-A511-C1B4-7CC038C3BDF1}"/>
                          </a:ext>
                        </a:extLst>
                      </wp:docPr>
                      <wp:cNvGraphicFramePr/>
                      <a:graphic xmlns:a="http://schemas.openxmlformats.org/drawingml/2006/main">
                        <a:graphicData uri="http://schemas.microsoft.com/office/word/2010/wordprocessingShape">
                          <wps:wsp>
                            <wps:cNvSpPr txBox="1"/>
                            <wps:spPr>
                              <a:xfrm>
                                <a:off x="0" y="0"/>
                                <a:ext cx="5925185" cy="390525"/>
                              </a:xfrm>
                              <a:prstGeom prst="rect">
                                <a:avLst/>
                              </a:prstGeom>
                              <a:solidFill>
                                <a:srgbClr val="FFFFFF">
                                  <a:alpha val="30196"/>
                                </a:srgbClr>
                              </a:solidFill>
                            </wps:spPr>
                            <wps:txbx>
                              <w:txbxContent>
                                <w:p w14:paraId="3733D271" w14:textId="70AC869B" w:rsidR="00693A3C" w:rsidRPr="00E279B3" w:rsidRDefault="00693A3C" w:rsidP="00693A3C">
                                  <w:pPr>
                                    <w:spacing w:after="0" w:line="500" w:lineRule="exact"/>
                                    <w:jc w:val="center"/>
                                    <w:rPr>
                                      <w:rFonts w:cstheme="minorHAnsi"/>
                                      <w:b/>
                                      <w:bCs/>
                                      <w:color w:val="840B2A"/>
                                      <w:kern w:val="24"/>
                                      <w:sz w:val="40"/>
                                      <w:szCs w:val="40"/>
                                    </w:rPr>
                                  </w:pPr>
                                  <w:r>
                                    <w:rPr>
                                      <w:rFonts w:cstheme="minorHAnsi"/>
                                      <w:b/>
                                      <w:bCs/>
                                      <w:color w:val="840B2A"/>
                                      <w:kern w:val="24"/>
                                      <w:sz w:val="40"/>
                                      <w:szCs w:val="40"/>
                                    </w:rPr>
                                    <w:t xml:space="preserve">DAILY NEWS – </w:t>
                                  </w:r>
                                  <w:r w:rsidR="00F22071">
                                    <w:rPr>
                                      <w:rFonts w:cstheme="minorHAnsi"/>
                                      <w:b/>
                                      <w:bCs/>
                                      <w:color w:val="840B2A"/>
                                      <w:kern w:val="24"/>
                                      <w:sz w:val="40"/>
                                      <w:szCs w:val="40"/>
                                    </w:rPr>
                                    <w:t>02</w:t>
                                  </w:r>
                                  <w:r>
                                    <w:rPr>
                                      <w:rFonts w:cstheme="minorHAnsi"/>
                                      <w:b/>
                                      <w:bCs/>
                                      <w:color w:val="840B2A"/>
                                      <w:kern w:val="24"/>
                                      <w:sz w:val="40"/>
                                      <w:szCs w:val="40"/>
                                    </w:rPr>
                                    <w:t>/</w:t>
                                  </w:r>
                                  <w:r w:rsidR="007447DF">
                                    <w:rPr>
                                      <w:rFonts w:cstheme="minorHAnsi"/>
                                      <w:b/>
                                      <w:bCs/>
                                      <w:color w:val="840B2A"/>
                                      <w:kern w:val="24"/>
                                      <w:sz w:val="40"/>
                                      <w:szCs w:val="40"/>
                                    </w:rPr>
                                    <w:t>1</w:t>
                                  </w:r>
                                  <w:r w:rsidR="00F22071">
                                    <w:rPr>
                                      <w:rFonts w:cstheme="minorHAnsi"/>
                                      <w:b/>
                                      <w:bCs/>
                                      <w:color w:val="840B2A"/>
                                      <w:kern w:val="24"/>
                                      <w:sz w:val="40"/>
                                      <w:szCs w:val="40"/>
                                    </w:rPr>
                                    <w:t>1</w:t>
                                  </w:r>
                                  <w:r>
                                    <w:rPr>
                                      <w:rFonts w:cstheme="minorHAnsi"/>
                                      <w:b/>
                                      <w:bCs/>
                                      <w:color w:val="840B2A"/>
                                      <w:kern w:val="24"/>
                                      <w:sz w:val="40"/>
                                      <w:szCs w:val="40"/>
                                    </w:rPr>
                                    <w:t>/2026</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A40126E" id="_x0000_t202" coordsize="21600,21600" o:spt="202" path="m,l,21600r21600,l21600,xe">
                      <v:stroke joinstyle="miter"/>
                      <v:path gradientshapeok="t" o:connecttype="rect"/>
                    </v:shapetype>
                    <v:shape id="TextBox 11" o:spid="_x0000_s1026" type="#_x0000_t202" style="position:absolute;left:0;text-align:left;margin-left:-4.65pt;margin-top:32.25pt;width:466.5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" stroked="f">
                      <v:fill opacity="19789f"/>
                      <v:textbox>
                        <w:txbxContent>
                          <w:p w14:paraId="3733D271" w14:textId="70AC869B" w:rsidR="00693A3C" w:rsidRPr="00E279B3" w:rsidRDefault="00693A3C" w:rsidP="00693A3C">
                            <w:pPr>
                              <w:spacing w:after="0" w:line="500" w:lineRule="exact"/>
                              <w:jc w:val="center"/>
                              <w:rPr>
                                <w:rFonts w:cstheme="minorHAnsi"/>
                                <w:b/>
                                <w:bCs/>
                                <w:color w:val="840B2A"/>
                                <w:kern w:val="24"/>
                                <w:sz w:val="40"/>
                                <w:szCs w:val="40"/>
                              </w:rPr>
                            </w:pPr>
                            <w:r>
                              <w:rPr>
                                <w:rFonts w:cstheme="minorHAnsi"/>
                                <w:b/>
                                <w:bCs/>
                                <w:color w:val="840B2A"/>
                                <w:kern w:val="24"/>
                                <w:sz w:val="40"/>
                                <w:szCs w:val="40"/>
                              </w:rPr>
                              <w:t xml:space="preserve">DAILY NEWS – </w:t>
                            </w:r>
                            <w:r w:rsidR="00F22071">
                              <w:rPr>
                                <w:rFonts w:cstheme="minorHAnsi"/>
                                <w:b/>
                                <w:bCs/>
                                <w:color w:val="840B2A"/>
                                <w:kern w:val="24"/>
                                <w:sz w:val="40"/>
                                <w:szCs w:val="40"/>
                              </w:rPr>
                              <w:t>02</w:t>
                            </w:r>
                            <w:r>
                              <w:rPr>
                                <w:rFonts w:cstheme="minorHAnsi"/>
                                <w:b/>
                                <w:bCs/>
                                <w:color w:val="840B2A"/>
                                <w:kern w:val="24"/>
                                <w:sz w:val="40"/>
                                <w:szCs w:val="40"/>
                              </w:rPr>
                              <w:t>/</w:t>
                            </w:r>
                            <w:r w:rsidR="007447DF">
                              <w:rPr>
                                <w:rFonts w:cstheme="minorHAnsi"/>
                                <w:b/>
                                <w:bCs/>
                                <w:color w:val="840B2A"/>
                                <w:kern w:val="24"/>
                                <w:sz w:val="40"/>
                                <w:szCs w:val="40"/>
                              </w:rPr>
                              <w:t>1</w:t>
                            </w:r>
                            <w:r w:rsidR="00F22071">
                              <w:rPr>
                                <w:rFonts w:cstheme="minorHAnsi"/>
                                <w:b/>
                                <w:bCs/>
                                <w:color w:val="840B2A"/>
                                <w:kern w:val="24"/>
                                <w:sz w:val="40"/>
                                <w:szCs w:val="40"/>
                              </w:rPr>
                              <w:t>1</w:t>
                            </w:r>
                            <w:r>
                              <w:rPr>
                                <w:rFonts w:cstheme="minorHAnsi"/>
                                <w:b/>
                                <w:bCs/>
                                <w:color w:val="840B2A"/>
                                <w:kern w:val="24"/>
                                <w:sz w:val="40"/>
                                <w:szCs w:val="40"/>
                              </w:rPr>
                              <w:t>/2026</w:t>
                            </w:r>
                          </w:p>
                        </w:txbxContent>
                      </v:textbox>
                    </v:shape>
                  </w:pict>
                </mc:Fallback>
              </mc:AlternateContent>
            </w:r>
            <w:r w:rsidRPr="006E2462">
              <w:rPr>
                <w:rFonts w:ascii="Calibri" w:hAnsi="Calibri" w:cs="Calibri"/>
                <w:b/>
                <w:bCs/>
                <w:noProof/>
                <w:color w:val="FFFFFF" w:themeColor="background1"/>
                <w:sz w:val="28"/>
                <w:szCs w:val="28"/>
              </w:rPr>
              <w:drawing>
                <wp:inline distT="0" distB="0" distL="0" distR="0" wp14:anchorId="0C6D4F25" wp14:editId="58820938">
                  <wp:extent cx="5949553" cy="1270000"/>
                  <wp:effectExtent l="0" t="0" r="0" b="6350"/>
                  <wp:docPr id="11" name="Picture 10">
                    <a:extLst xmlns:a="http://schemas.openxmlformats.org/drawingml/2006/main">
                      <a:ext uri="{FF2B5EF4-FFF2-40B4-BE49-F238E27FC236}">
                        <a16:creationId xmlns:a16="http://schemas.microsoft.com/office/drawing/2014/main" id="{33367F2A-30A5-5B47-D096-B758A4CE9F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3367F2A-30A5-5B47-D096-B758A4CE9F35}"/>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t="23656" b="47377"/>
                          <a:stretch/>
                        </pic:blipFill>
                        <pic:spPr>
                          <a:xfrm>
                            <a:off x="0" y="0"/>
                            <a:ext cx="5949553" cy="1270000"/>
                          </a:xfrm>
                          <a:prstGeom prst="rect">
                            <a:avLst/>
                          </a:prstGeom>
                        </pic:spPr>
                      </pic:pic>
                    </a:graphicData>
                  </a:graphic>
                </wp:inline>
              </w:drawing>
            </w:r>
          </w:p>
        </w:tc>
      </w:tr>
      <w:tr w:rsidR="00693A3C" w:rsidRPr="006E2462" w14:paraId="1ECCECFE" w14:textId="77777777" w:rsidTr="00221E46">
        <w:tc>
          <w:tcPr>
            <w:tcW w:w="9360" w:type="dxa"/>
            <w:shd w:val="clear" w:color="auto" w:fill="830A2B"/>
            <w:vAlign w:val="center"/>
          </w:tcPr>
          <w:p w14:paraId="15F97A13" w14:textId="66E8B8F7" w:rsidR="00693A3C" w:rsidRPr="006E2462" w:rsidRDefault="006A2750" w:rsidP="006F2976">
            <w:pPr>
              <w:spacing w:before="60" w:after="60"/>
              <w:ind w:left="340"/>
              <w:jc w:val="both"/>
              <w:rPr>
                <w:rFonts w:ascii="Calibri" w:hAnsi="Calibri" w:cs="Calibri"/>
                <w:b/>
                <w:bCs/>
                <w:color w:val="FFFFFF" w:themeColor="background1"/>
                <w:sz w:val="28"/>
                <w:szCs w:val="28"/>
              </w:rPr>
            </w:pPr>
            <w:r w:rsidRPr="006A2750">
              <w:rPr>
                <w:rFonts w:ascii="Calibri" w:hAnsi="Calibri" w:cs="Calibri"/>
                <w:b/>
                <w:bCs/>
                <w:color w:val="FFFFFF" w:themeColor="background1"/>
                <w:sz w:val="28"/>
                <w:szCs w:val="28"/>
              </w:rPr>
              <w:t xml:space="preserve">VN-Index extended losses </w:t>
            </w:r>
            <w:r w:rsidR="00B5474C">
              <w:rPr>
                <w:rFonts w:ascii="Calibri" w:hAnsi="Calibri" w:cs="Calibri"/>
                <w:b/>
                <w:bCs/>
                <w:color w:val="FFFFFF" w:themeColor="background1"/>
                <w:sz w:val="28"/>
                <w:szCs w:val="28"/>
              </w:rPr>
              <w:t>(VN-Index -1.77%)</w:t>
            </w:r>
          </w:p>
        </w:tc>
      </w:tr>
      <w:tr w:rsidR="00693A3C" w:rsidRPr="006E2462" w14:paraId="37B6EDD7" w14:textId="77777777" w:rsidTr="00221E46">
        <w:trPr>
          <w:trHeight w:val="3904"/>
        </w:trPr>
        <w:tc>
          <w:tcPr>
            <w:tcW w:w="9360" w:type="dxa"/>
            <w:vAlign w:val="center"/>
          </w:tcPr>
          <w:p w14:paraId="294C3D6F" w14:textId="54A78E87" w:rsidR="00FB049D" w:rsidRPr="00FB049D" w:rsidRDefault="00FB049D" w:rsidP="00FB049D">
            <w:pPr>
              <w:pStyle w:val="ListParagraph"/>
              <w:numPr>
                <w:ilvl w:val="0"/>
                <w:numId w:val="1"/>
              </w:numPr>
              <w:spacing w:after="200" w:line="240" w:lineRule="auto"/>
              <w:jc w:val="both"/>
              <w:rPr>
                <w:rFonts w:ascii="Calibri" w:hAnsi="Calibri" w:cs="Calibri"/>
                <w:sz w:val="28"/>
                <w:szCs w:val="28"/>
              </w:rPr>
            </w:pPr>
            <w:r w:rsidRPr="00FB049D">
              <w:rPr>
                <w:rFonts w:ascii="Calibri" w:hAnsi="Calibri" w:cs="Calibri"/>
                <w:sz w:val="28"/>
                <w:szCs w:val="28"/>
              </w:rPr>
              <w:t>The VN-Index opened lower as selling pressure carried over from the previous session.</w:t>
            </w:r>
          </w:p>
          <w:p w14:paraId="7DF9A17A" w14:textId="77777777" w:rsidR="00FB049D" w:rsidRDefault="00FB049D" w:rsidP="00FB049D">
            <w:pPr>
              <w:pStyle w:val="ListParagraph"/>
              <w:numPr>
                <w:ilvl w:val="0"/>
                <w:numId w:val="1"/>
              </w:numPr>
              <w:spacing w:after="200" w:line="240" w:lineRule="auto"/>
              <w:jc w:val="both"/>
              <w:rPr>
                <w:rFonts w:ascii="Calibri" w:hAnsi="Calibri" w:cs="Calibri"/>
                <w:sz w:val="28"/>
                <w:szCs w:val="28"/>
              </w:rPr>
            </w:pPr>
            <w:r w:rsidRPr="00FB049D">
              <w:rPr>
                <w:rFonts w:ascii="Calibri" w:hAnsi="Calibri" w:cs="Calibri"/>
                <w:sz w:val="28"/>
                <w:szCs w:val="28"/>
              </w:rPr>
              <w:t>During the morning session, selling pressure intensified, led by Banking stocks, particularly VPB (-6.10%) and VCB (-4.80%). Weakness in FPT (-4.74%) and MWG (-2.16%) further weighed on market sentiment, while VIC (+0.41%) provided selective support. Meanwhile, KOS (+6.90%) extended its rebound, reaching the ceiling price for the second consecutive session.</w:t>
            </w:r>
          </w:p>
          <w:p w14:paraId="651B9568" w14:textId="4CB523B5" w:rsidR="007164F6" w:rsidRDefault="00651770" w:rsidP="00D85B69">
            <w:pPr>
              <w:pStyle w:val="ListParagraph"/>
              <w:numPr>
                <w:ilvl w:val="0"/>
                <w:numId w:val="1"/>
              </w:numPr>
              <w:spacing w:after="200" w:line="240" w:lineRule="auto"/>
              <w:jc w:val="both"/>
              <w:rPr>
                <w:rFonts w:ascii="Calibri" w:hAnsi="Calibri" w:cs="Calibri"/>
                <w:sz w:val="28"/>
                <w:szCs w:val="28"/>
              </w:rPr>
            </w:pPr>
            <w:r w:rsidRPr="00651770">
              <w:rPr>
                <w:rFonts w:ascii="Calibri" w:hAnsi="Calibri" w:cs="Calibri"/>
                <w:sz w:val="28"/>
                <w:szCs w:val="28"/>
              </w:rPr>
              <w:t>In the afternoon, selling pressure pushed the VN-Index to an intraday low before a late-session rebound, supported by VIC (+0.41%), VJC (+0.53%), and a recovery in CTG (-1.82%). Nevertheless, losses remained widespread, particularly among Banking and other large-cap stocks, with VCB (-4.80%), FPT (-4.74%), and GVR (-6.88%) recording sharp declines.</w:t>
            </w:r>
          </w:p>
          <w:p w14:paraId="2655F85A" w14:textId="5FDAB9ED" w:rsidR="001D5CDC" w:rsidRPr="001D5CDC" w:rsidRDefault="00D85B69" w:rsidP="00D85B69">
            <w:pPr>
              <w:pStyle w:val="ListParagraph"/>
              <w:numPr>
                <w:ilvl w:val="0"/>
                <w:numId w:val="1"/>
              </w:numPr>
              <w:spacing w:after="200" w:line="240" w:lineRule="auto"/>
              <w:jc w:val="both"/>
              <w:rPr>
                <w:rFonts w:ascii="Calibri" w:hAnsi="Calibri" w:cs="Calibri"/>
                <w:sz w:val="28"/>
                <w:szCs w:val="28"/>
              </w:rPr>
            </w:pPr>
            <w:r w:rsidRPr="00D85B69">
              <w:rPr>
                <w:rFonts w:ascii="Calibri" w:hAnsi="Calibri" w:cs="Calibri"/>
                <w:sz w:val="28"/>
                <w:szCs w:val="28"/>
              </w:rPr>
              <w:t xml:space="preserve">Market breadth </w:t>
            </w:r>
            <w:r w:rsidR="001214EC">
              <w:rPr>
                <w:rFonts w:ascii="Calibri" w:hAnsi="Calibri" w:cs="Calibri"/>
                <w:sz w:val="28"/>
                <w:szCs w:val="28"/>
              </w:rPr>
              <w:t>recorded</w:t>
            </w:r>
            <w:r w:rsidRPr="00D85B69">
              <w:rPr>
                <w:rFonts w:ascii="Calibri" w:hAnsi="Calibri" w:cs="Calibri"/>
                <w:sz w:val="28"/>
                <w:szCs w:val="28"/>
              </w:rPr>
              <w:t xml:space="preserve"> with </w:t>
            </w:r>
            <w:r w:rsidR="00520C69">
              <w:rPr>
                <w:rFonts w:ascii="Calibri" w:hAnsi="Calibri" w:cs="Calibri"/>
                <w:sz w:val="28"/>
                <w:szCs w:val="28"/>
              </w:rPr>
              <w:t>46</w:t>
            </w:r>
            <w:r w:rsidRPr="00D85B69">
              <w:rPr>
                <w:rFonts w:ascii="Calibri" w:hAnsi="Calibri" w:cs="Calibri"/>
                <w:sz w:val="28"/>
                <w:szCs w:val="28"/>
              </w:rPr>
              <w:t xml:space="preserve"> advancers, 2</w:t>
            </w:r>
            <w:r w:rsidR="00520C69">
              <w:rPr>
                <w:rFonts w:ascii="Calibri" w:hAnsi="Calibri" w:cs="Calibri"/>
                <w:sz w:val="28"/>
                <w:szCs w:val="28"/>
              </w:rPr>
              <w:t>81</w:t>
            </w:r>
            <w:r w:rsidRPr="00D85B69">
              <w:rPr>
                <w:rFonts w:ascii="Calibri" w:hAnsi="Calibri" w:cs="Calibri"/>
                <w:sz w:val="28"/>
                <w:szCs w:val="28"/>
              </w:rPr>
              <w:t xml:space="preserve"> decliners, and </w:t>
            </w:r>
            <w:r w:rsidR="003C79DF">
              <w:rPr>
                <w:rFonts w:ascii="Calibri" w:hAnsi="Calibri" w:cs="Calibri"/>
                <w:sz w:val="28"/>
                <w:szCs w:val="28"/>
              </w:rPr>
              <w:t>4</w:t>
            </w:r>
            <w:r w:rsidR="00520C69">
              <w:rPr>
                <w:rFonts w:ascii="Calibri" w:hAnsi="Calibri" w:cs="Calibri"/>
                <w:sz w:val="28"/>
                <w:szCs w:val="28"/>
              </w:rPr>
              <w:t xml:space="preserve">7 </w:t>
            </w:r>
            <w:r w:rsidRPr="00D85B69">
              <w:rPr>
                <w:rFonts w:ascii="Calibri" w:hAnsi="Calibri" w:cs="Calibri"/>
                <w:sz w:val="28"/>
                <w:szCs w:val="28"/>
              </w:rPr>
              <w:t>unchanged stocks.</w:t>
            </w:r>
          </w:p>
          <w:p w14:paraId="41280790" w14:textId="030893DF" w:rsidR="00693A3C" w:rsidRPr="006E2462" w:rsidRDefault="00D85B69" w:rsidP="001D5CDC">
            <w:pPr>
              <w:pStyle w:val="ListParagraph"/>
              <w:numPr>
                <w:ilvl w:val="0"/>
                <w:numId w:val="1"/>
              </w:numPr>
              <w:spacing w:after="200" w:line="240" w:lineRule="auto"/>
              <w:jc w:val="both"/>
              <w:rPr>
                <w:rFonts w:ascii="Calibri" w:hAnsi="Calibri" w:cs="Calibri"/>
                <w:sz w:val="28"/>
                <w:szCs w:val="28"/>
              </w:rPr>
            </w:pPr>
            <w:r w:rsidRPr="00D85B69">
              <w:rPr>
                <w:rFonts w:ascii="Calibri" w:hAnsi="Calibri" w:cs="Calibri"/>
                <w:sz w:val="28"/>
                <w:szCs w:val="28"/>
              </w:rPr>
              <w:t xml:space="preserve">Market turnover </w:t>
            </w:r>
            <w:r w:rsidR="00D921ED">
              <w:rPr>
                <w:rFonts w:ascii="Calibri" w:hAnsi="Calibri" w:cs="Calibri"/>
                <w:sz w:val="28"/>
                <w:szCs w:val="28"/>
              </w:rPr>
              <w:t>in</w:t>
            </w:r>
            <w:r w:rsidRPr="00D85B69">
              <w:rPr>
                <w:rFonts w:ascii="Calibri" w:hAnsi="Calibri" w:cs="Calibri"/>
                <w:sz w:val="28"/>
                <w:szCs w:val="28"/>
              </w:rPr>
              <w:t xml:space="preserve">creased by </w:t>
            </w:r>
            <w:r w:rsidR="00A17723">
              <w:rPr>
                <w:rFonts w:ascii="Calibri" w:hAnsi="Calibri" w:cs="Calibri"/>
                <w:sz w:val="28"/>
                <w:szCs w:val="28"/>
              </w:rPr>
              <w:t>26.61</w:t>
            </w:r>
            <w:r w:rsidRPr="00D85B69">
              <w:rPr>
                <w:rFonts w:ascii="Calibri" w:hAnsi="Calibri" w:cs="Calibri"/>
                <w:sz w:val="28"/>
                <w:szCs w:val="28"/>
              </w:rPr>
              <w:t>% from the previous session to VND 1</w:t>
            </w:r>
            <w:r w:rsidR="00A17723">
              <w:rPr>
                <w:rFonts w:ascii="Calibri" w:hAnsi="Calibri" w:cs="Calibri"/>
                <w:sz w:val="28"/>
                <w:szCs w:val="28"/>
              </w:rPr>
              <w:t xml:space="preserve">8.57 </w:t>
            </w:r>
            <w:r w:rsidRPr="00D85B69">
              <w:rPr>
                <w:rFonts w:ascii="Calibri" w:hAnsi="Calibri" w:cs="Calibri"/>
                <w:sz w:val="28"/>
                <w:szCs w:val="28"/>
              </w:rPr>
              <w:t>trillion. VN-Index closed at 1,</w:t>
            </w:r>
            <w:r w:rsidR="00A17723">
              <w:rPr>
                <w:rFonts w:ascii="Calibri" w:hAnsi="Calibri" w:cs="Calibri"/>
                <w:sz w:val="28"/>
                <w:szCs w:val="28"/>
              </w:rPr>
              <w:t>710.72</w:t>
            </w:r>
            <w:r w:rsidRPr="00D85B69">
              <w:rPr>
                <w:rFonts w:ascii="Calibri" w:hAnsi="Calibri" w:cs="Calibri"/>
                <w:sz w:val="28"/>
                <w:szCs w:val="28"/>
              </w:rPr>
              <w:t xml:space="preserve"> points (-</w:t>
            </w:r>
            <w:r w:rsidR="00A17723">
              <w:rPr>
                <w:rFonts w:ascii="Calibri" w:hAnsi="Calibri" w:cs="Calibri"/>
                <w:sz w:val="28"/>
                <w:szCs w:val="28"/>
              </w:rPr>
              <w:t>1.77</w:t>
            </w:r>
            <w:r w:rsidRPr="00D85B69">
              <w:rPr>
                <w:rFonts w:ascii="Calibri" w:hAnsi="Calibri" w:cs="Calibri"/>
                <w:sz w:val="28"/>
                <w:szCs w:val="28"/>
              </w:rPr>
              <w:t>%).</w:t>
            </w:r>
          </w:p>
        </w:tc>
      </w:tr>
      <w:tr w:rsidR="00693A3C" w:rsidRPr="006E2462" w14:paraId="46008201" w14:textId="77777777" w:rsidTr="00221E46">
        <w:trPr>
          <w:trHeight w:val="80"/>
        </w:trPr>
        <w:tc>
          <w:tcPr>
            <w:tcW w:w="9360" w:type="dxa"/>
            <w:vAlign w:val="center"/>
          </w:tcPr>
          <w:p w14:paraId="7FCF125D" w14:textId="77777777" w:rsidR="00693A3C" w:rsidRPr="006E2462" w:rsidRDefault="00693A3C" w:rsidP="006F2976">
            <w:pPr>
              <w:jc w:val="both"/>
              <w:rPr>
                <w:rFonts w:ascii="Calibri" w:hAnsi="Calibri" w:cs="Calibri"/>
                <w:b/>
                <w:bCs/>
                <w:sz w:val="28"/>
                <w:szCs w:val="28"/>
              </w:rPr>
            </w:pPr>
          </w:p>
        </w:tc>
      </w:tr>
      <w:tr w:rsidR="00693A3C" w:rsidRPr="006E2462" w14:paraId="327B1F90" w14:textId="77777777" w:rsidTr="00221E46">
        <w:tc>
          <w:tcPr>
            <w:tcW w:w="9360" w:type="dxa"/>
            <w:shd w:val="clear" w:color="auto" w:fill="830A2B"/>
            <w:vAlign w:val="center"/>
          </w:tcPr>
          <w:p w14:paraId="1C8842E5" w14:textId="595DC25A" w:rsidR="00693A3C" w:rsidRPr="00AD682E" w:rsidRDefault="00D85B69" w:rsidP="00AD682E">
            <w:pPr>
              <w:spacing w:before="60" w:after="60"/>
              <w:ind w:left="340"/>
              <w:jc w:val="both"/>
              <w:rPr>
                <w:rFonts w:ascii="Calibri" w:hAnsi="Calibri" w:cs="Calibri"/>
                <w:b/>
                <w:bCs/>
                <w:color w:val="FFFFFF" w:themeColor="background1"/>
                <w:sz w:val="28"/>
                <w:szCs w:val="28"/>
              </w:rPr>
            </w:pPr>
            <w:r w:rsidRPr="00D85B69">
              <w:rPr>
                <w:rFonts w:ascii="Calibri" w:hAnsi="Calibri" w:cs="Calibri"/>
                <w:b/>
                <w:bCs/>
                <w:color w:val="FFFFFF" w:themeColor="background1"/>
                <w:sz w:val="28"/>
                <w:szCs w:val="28"/>
              </w:rPr>
              <w:t xml:space="preserve">VN30 </w:t>
            </w:r>
            <w:r w:rsidR="00B5474C">
              <w:rPr>
                <w:rFonts w:ascii="Calibri" w:hAnsi="Calibri" w:cs="Calibri"/>
                <w:b/>
                <w:bCs/>
                <w:color w:val="FFFFFF" w:themeColor="background1"/>
                <w:sz w:val="28"/>
                <w:szCs w:val="28"/>
              </w:rPr>
              <w:t>faced broad</w:t>
            </w:r>
            <w:r w:rsidR="00E36762">
              <w:rPr>
                <w:rFonts w:ascii="Calibri" w:hAnsi="Calibri" w:cs="Calibri"/>
                <w:b/>
                <w:bCs/>
                <w:color w:val="FFFFFF" w:themeColor="background1"/>
                <w:sz w:val="28"/>
                <w:szCs w:val="28"/>
              </w:rPr>
              <w:t>-based</w:t>
            </w:r>
            <w:r w:rsidR="00B5474C">
              <w:rPr>
                <w:rFonts w:ascii="Calibri" w:hAnsi="Calibri" w:cs="Calibri"/>
                <w:b/>
                <w:bCs/>
                <w:color w:val="FFFFFF" w:themeColor="background1"/>
                <w:sz w:val="28"/>
                <w:szCs w:val="28"/>
              </w:rPr>
              <w:t xml:space="preserve"> selling pressure</w:t>
            </w:r>
            <w:r w:rsidR="001214EC" w:rsidRPr="001214EC">
              <w:rPr>
                <w:rFonts w:ascii="Calibri" w:hAnsi="Calibri" w:cs="Calibri"/>
                <w:b/>
                <w:bCs/>
                <w:color w:val="FFFFFF" w:themeColor="background1"/>
                <w:sz w:val="28"/>
                <w:szCs w:val="28"/>
              </w:rPr>
              <w:t xml:space="preserve"> </w:t>
            </w:r>
            <w:r w:rsidRPr="00D85B69">
              <w:rPr>
                <w:rFonts w:ascii="Calibri" w:hAnsi="Calibri" w:cs="Calibri"/>
                <w:b/>
                <w:bCs/>
                <w:color w:val="FFFFFF" w:themeColor="background1"/>
                <w:sz w:val="28"/>
                <w:szCs w:val="28"/>
              </w:rPr>
              <w:t>(VN30 -</w:t>
            </w:r>
            <w:r w:rsidR="00B5474C">
              <w:rPr>
                <w:rFonts w:ascii="Calibri" w:hAnsi="Calibri" w:cs="Calibri"/>
                <w:b/>
                <w:bCs/>
                <w:color w:val="FFFFFF" w:themeColor="background1"/>
                <w:sz w:val="28"/>
                <w:szCs w:val="28"/>
              </w:rPr>
              <w:t>2</w:t>
            </w:r>
            <w:r w:rsidR="00672665">
              <w:rPr>
                <w:rFonts w:ascii="Calibri" w:hAnsi="Calibri" w:cs="Calibri"/>
                <w:b/>
                <w:bCs/>
                <w:color w:val="FFFFFF" w:themeColor="background1"/>
                <w:sz w:val="28"/>
                <w:szCs w:val="28"/>
              </w:rPr>
              <w:t>.</w:t>
            </w:r>
            <w:r w:rsidR="00B5474C">
              <w:rPr>
                <w:rFonts w:ascii="Calibri" w:hAnsi="Calibri" w:cs="Calibri"/>
                <w:b/>
                <w:bCs/>
                <w:color w:val="FFFFFF" w:themeColor="background1"/>
                <w:sz w:val="28"/>
                <w:szCs w:val="28"/>
              </w:rPr>
              <w:t>28</w:t>
            </w:r>
            <w:r w:rsidRPr="00D85B69">
              <w:rPr>
                <w:rFonts w:ascii="Calibri" w:hAnsi="Calibri" w:cs="Calibri"/>
                <w:b/>
                <w:bCs/>
                <w:color w:val="FFFFFF" w:themeColor="background1"/>
                <w:sz w:val="28"/>
                <w:szCs w:val="28"/>
              </w:rPr>
              <w:t>%)</w:t>
            </w:r>
          </w:p>
        </w:tc>
      </w:tr>
      <w:tr w:rsidR="00693A3C" w:rsidRPr="006E2462" w14:paraId="63E6584A" w14:textId="77777777" w:rsidTr="004D6DDA">
        <w:trPr>
          <w:trHeight w:val="1674"/>
        </w:trPr>
        <w:tc>
          <w:tcPr>
            <w:tcW w:w="9360" w:type="dxa"/>
            <w:vAlign w:val="center"/>
          </w:tcPr>
          <w:p w14:paraId="7C9EF863" w14:textId="0D29251E" w:rsidR="00D85B69" w:rsidRDefault="00D85B69" w:rsidP="00D85B69">
            <w:pPr>
              <w:pStyle w:val="ListParagraph"/>
              <w:numPr>
                <w:ilvl w:val="0"/>
                <w:numId w:val="1"/>
              </w:numPr>
              <w:shd w:val="clear" w:color="auto" w:fill="FFFFFF"/>
              <w:spacing w:before="60" w:line="240" w:lineRule="auto"/>
              <w:jc w:val="both"/>
              <w:rPr>
                <w:rFonts w:ascii="Calibri" w:hAnsi="Calibri" w:cs="Calibri"/>
                <w:sz w:val="28"/>
                <w:szCs w:val="28"/>
              </w:rPr>
            </w:pPr>
            <w:r w:rsidRPr="00D85B69">
              <w:rPr>
                <w:rFonts w:ascii="Calibri" w:hAnsi="Calibri" w:cs="Calibri"/>
                <w:sz w:val="28"/>
                <w:szCs w:val="28"/>
              </w:rPr>
              <w:t xml:space="preserve">The basket recorded </w:t>
            </w:r>
            <w:r w:rsidR="0059298C">
              <w:rPr>
                <w:rFonts w:ascii="Calibri" w:hAnsi="Calibri" w:cs="Calibri"/>
                <w:sz w:val="28"/>
                <w:szCs w:val="28"/>
              </w:rPr>
              <w:t>2</w:t>
            </w:r>
            <w:r w:rsidRPr="00D85B69">
              <w:rPr>
                <w:rFonts w:ascii="Calibri" w:hAnsi="Calibri" w:cs="Calibri"/>
                <w:sz w:val="28"/>
                <w:szCs w:val="28"/>
              </w:rPr>
              <w:t xml:space="preserve"> gainers, </w:t>
            </w:r>
            <w:r w:rsidR="003C79DF">
              <w:rPr>
                <w:rFonts w:ascii="Calibri" w:hAnsi="Calibri" w:cs="Calibri"/>
                <w:sz w:val="28"/>
                <w:szCs w:val="28"/>
              </w:rPr>
              <w:t>2</w:t>
            </w:r>
            <w:r w:rsidR="0059298C">
              <w:rPr>
                <w:rFonts w:ascii="Calibri" w:hAnsi="Calibri" w:cs="Calibri"/>
                <w:sz w:val="28"/>
                <w:szCs w:val="28"/>
              </w:rPr>
              <w:t>7</w:t>
            </w:r>
            <w:r w:rsidRPr="00D85B69">
              <w:rPr>
                <w:rFonts w:ascii="Calibri" w:hAnsi="Calibri" w:cs="Calibri"/>
                <w:sz w:val="28"/>
                <w:szCs w:val="28"/>
              </w:rPr>
              <w:t xml:space="preserve"> decliners, and </w:t>
            </w:r>
            <w:r w:rsidR="0059298C">
              <w:rPr>
                <w:rFonts w:ascii="Calibri" w:hAnsi="Calibri" w:cs="Calibri"/>
                <w:sz w:val="28"/>
                <w:szCs w:val="28"/>
              </w:rPr>
              <w:t>1</w:t>
            </w:r>
            <w:r w:rsidRPr="00D85B69">
              <w:rPr>
                <w:rFonts w:ascii="Calibri" w:hAnsi="Calibri" w:cs="Calibri"/>
                <w:sz w:val="28"/>
                <w:szCs w:val="28"/>
              </w:rPr>
              <w:t xml:space="preserve"> unchanged stock.</w:t>
            </w:r>
          </w:p>
          <w:p w14:paraId="6ECC5219" w14:textId="38EB7038" w:rsidR="004D6DDA" w:rsidRPr="00D85B69" w:rsidRDefault="00395BA4" w:rsidP="00D85B69">
            <w:pPr>
              <w:pStyle w:val="ListParagraph"/>
              <w:numPr>
                <w:ilvl w:val="0"/>
                <w:numId w:val="1"/>
              </w:numPr>
              <w:shd w:val="clear" w:color="auto" w:fill="FFFFFF"/>
              <w:spacing w:before="60" w:line="240" w:lineRule="auto"/>
              <w:jc w:val="both"/>
              <w:rPr>
                <w:rFonts w:ascii="Calibri" w:hAnsi="Calibri" w:cs="Calibri"/>
                <w:sz w:val="28"/>
                <w:szCs w:val="28"/>
              </w:rPr>
            </w:pPr>
            <w:r>
              <w:rPr>
                <w:rFonts w:ascii="Calibri" w:hAnsi="Calibri" w:cs="Calibri"/>
                <w:sz w:val="28"/>
                <w:szCs w:val="28"/>
              </w:rPr>
              <w:t>VJC</w:t>
            </w:r>
            <w:r w:rsidR="004D6DDA" w:rsidRPr="004D6DDA">
              <w:rPr>
                <w:rFonts w:ascii="Calibri" w:hAnsi="Calibri" w:cs="Calibri"/>
                <w:sz w:val="28"/>
                <w:szCs w:val="28"/>
              </w:rPr>
              <w:t xml:space="preserve"> (+</w:t>
            </w:r>
            <w:r>
              <w:rPr>
                <w:rFonts w:ascii="Calibri" w:hAnsi="Calibri" w:cs="Calibri"/>
                <w:sz w:val="28"/>
                <w:szCs w:val="28"/>
              </w:rPr>
              <w:t>0.53</w:t>
            </w:r>
            <w:r w:rsidR="004D6DDA" w:rsidRPr="004D6DDA">
              <w:rPr>
                <w:rFonts w:ascii="Calibri" w:hAnsi="Calibri" w:cs="Calibri"/>
                <w:sz w:val="28"/>
                <w:szCs w:val="28"/>
              </w:rPr>
              <w:t>%)</w:t>
            </w:r>
            <w:r>
              <w:rPr>
                <w:rFonts w:ascii="Calibri" w:hAnsi="Calibri" w:cs="Calibri"/>
                <w:sz w:val="28"/>
                <w:szCs w:val="28"/>
              </w:rPr>
              <w:t xml:space="preserve"> </w:t>
            </w:r>
            <w:r w:rsidR="004D6DDA" w:rsidRPr="004D6DDA">
              <w:rPr>
                <w:rFonts w:ascii="Calibri" w:hAnsi="Calibri" w:cs="Calibri"/>
                <w:sz w:val="28"/>
                <w:szCs w:val="28"/>
              </w:rPr>
              <w:t xml:space="preserve">and </w:t>
            </w:r>
            <w:r>
              <w:rPr>
                <w:rFonts w:ascii="Calibri" w:hAnsi="Calibri" w:cs="Calibri"/>
                <w:sz w:val="28"/>
                <w:szCs w:val="28"/>
              </w:rPr>
              <w:t xml:space="preserve">VIC </w:t>
            </w:r>
            <w:r w:rsidR="004D6DDA" w:rsidRPr="004D6DDA">
              <w:rPr>
                <w:rFonts w:ascii="Calibri" w:hAnsi="Calibri" w:cs="Calibri"/>
                <w:sz w:val="28"/>
                <w:szCs w:val="28"/>
              </w:rPr>
              <w:t>(+0.</w:t>
            </w:r>
            <w:r>
              <w:rPr>
                <w:rFonts w:ascii="Calibri" w:hAnsi="Calibri" w:cs="Calibri"/>
                <w:sz w:val="28"/>
                <w:szCs w:val="28"/>
              </w:rPr>
              <w:t xml:space="preserve">41 </w:t>
            </w:r>
            <w:r w:rsidR="004D6DDA" w:rsidRPr="004D6DDA">
              <w:rPr>
                <w:rFonts w:ascii="Calibri" w:hAnsi="Calibri" w:cs="Calibri"/>
                <w:sz w:val="28"/>
                <w:szCs w:val="28"/>
              </w:rPr>
              <w:t xml:space="preserve">%) </w:t>
            </w:r>
            <w:r w:rsidR="00DD5963">
              <w:rPr>
                <w:rFonts w:ascii="Calibri" w:hAnsi="Calibri" w:cs="Calibri"/>
                <w:sz w:val="28"/>
                <w:szCs w:val="28"/>
              </w:rPr>
              <w:t>led the gainers.</w:t>
            </w:r>
          </w:p>
          <w:p w14:paraId="7C5855F3" w14:textId="355CAE44" w:rsidR="00693A3C" w:rsidRPr="004D6DDA" w:rsidRDefault="004D6DDA" w:rsidP="004D6DDA">
            <w:pPr>
              <w:pStyle w:val="ListParagraph"/>
              <w:numPr>
                <w:ilvl w:val="0"/>
                <w:numId w:val="1"/>
              </w:numPr>
              <w:shd w:val="clear" w:color="auto" w:fill="FFFFFF"/>
              <w:spacing w:before="60" w:line="240" w:lineRule="auto"/>
              <w:jc w:val="both"/>
              <w:rPr>
                <w:rFonts w:ascii="Calibri" w:hAnsi="Calibri" w:cs="Calibri"/>
                <w:sz w:val="28"/>
                <w:szCs w:val="28"/>
              </w:rPr>
            </w:pPr>
            <w:r>
              <w:rPr>
                <w:rFonts w:ascii="Calibri" w:hAnsi="Calibri" w:cs="Calibri"/>
                <w:sz w:val="28"/>
                <w:szCs w:val="28"/>
              </w:rPr>
              <w:t xml:space="preserve">On the flip side, </w:t>
            </w:r>
            <w:r w:rsidR="00086F6B">
              <w:rPr>
                <w:rFonts w:ascii="Calibri" w:hAnsi="Calibri" w:cs="Calibri"/>
                <w:sz w:val="28"/>
                <w:szCs w:val="28"/>
              </w:rPr>
              <w:t>GVR</w:t>
            </w:r>
            <w:r w:rsidR="003C79DF">
              <w:rPr>
                <w:rFonts w:ascii="Calibri" w:hAnsi="Calibri" w:cs="Calibri"/>
                <w:sz w:val="28"/>
                <w:szCs w:val="28"/>
              </w:rPr>
              <w:t xml:space="preserve"> </w:t>
            </w:r>
            <w:r w:rsidR="00D85B69" w:rsidRPr="00D85B69">
              <w:rPr>
                <w:rFonts w:ascii="Calibri" w:hAnsi="Calibri" w:cs="Calibri"/>
                <w:sz w:val="28"/>
                <w:szCs w:val="28"/>
              </w:rPr>
              <w:t>(-</w:t>
            </w:r>
            <w:r w:rsidR="00086F6B">
              <w:rPr>
                <w:rFonts w:ascii="Calibri" w:hAnsi="Calibri" w:cs="Calibri"/>
                <w:sz w:val="28"/>
                <w:szCs w:val="28"/>
              </w:rPr>
              <w:t>6.88</w:t>
            </w:r>
            <w:r w:rsidR="00D85B69" w:rsidRPr="00D85B69">
              <w:rPr>
                <w:rFonts w:ascii="Calibri" w:hAnsi="Calibri" w:cs="Calibri"/>
                <w:sz w:val="28"/>
                <w:szCs w:val="28"/>
              </w:rPr>
              <w:t xml:space="preserve">%), </w:t>
            </w:r>
            <w:r w:rsidR="00086F6B">
              <w:rPr>
                <w:rFonts w:ascii="Calibri" w:hAnsi="Calibri" w:cs="Calibri"/>
                <w:sz w:val="28"/>
                <w:szCs w:val="28"/>
              </w:rPr>
              <w:t>VPB</w:t>
            </w:r>
            <w:r w:rsidR="00D85B69" w:rsidRPr="00D85B69">
              <w:rPr>
                <w:rFonts w:ascii="Calibri" w:hAnsi="Calibri" w:cs="Calibri"/>
                <w:sz w:val="28"/>
                <w:szCs w:val="28"/>
              </w:rPr>
              <w:t xml:space="preserve"> (-</w:t>
            </w:r>
            <w:r w:rsidR="00086F6B">
              <w:rPr>
                <w:rFonts w:ascii="Calibri" w:hAnsi="Calibri" w:cs="Calibri"/>
                <w:sz w:val="28"/>
                <w:szCs w:val="28"/>
              </w:rPr>
              <w:t>6.10</w:t>
            </w:r>
            <w:r w:rsidR="00D85B69" w:rsidRPr="00D85B69">
              <w:rPr>
                <w:rFonts w:ascii="Calibri" w:hAnsi="Calibri" w:cs="Calibri"/>
                <w:sz w:val="28"/>
                <w:szCs w:val="28"/>
              </w:rPr>
              <w:t xml:space="preserve">%), and </w:t>
            </w:r>
            <w:r w:rsidR="00086F6B">
              <w:rPr>
                <w:rFonts w:ascii="Calibri" w:hAnsi="Calibri" w:cs="Calibri"/>
                <w:sz w:val="28"/>
                <w:szCs w:val="28"/>
              </w:rPr>
              <w:t>VCB</w:t>
            </w:r>
            <w:r w:rsidR="00D85B69" w:rsidRPr="00D85B69">
              <w:rPr>
                <w:rFonts w:ascii="Calibri" w:hAnsi="Calibri" w:cs="Calibri"/>
                <w:sz w:val="28"/>
                <w:szCs w:val="28"/>
              </w:rPr>
              <w:t xml:space="preserve"> (-</w:t>
            </w:r>
            <w:r w:rsidR="00086F6B">
              <w:rPr>
                <w:rFonts w:ascii="Calibri" w:hAnsi="Calibri" w:cs="Calibri"/>
                <w:sz w:val="28"/>
                <w:szCs w:val="28"/>
              </w:rPr>
              <w:t>4.80</w:t>
            </w:r>
            <w:r w:rsidR="00D85B69" w:rsidRPr="00D85B69">
              <w:rPr>
                <w:rFonts w:ascii="Calibri" w:hAnsi="Calibri" w:cs="Calibri"/>
                <w:sz w:val="28"/>
                <w:szCs w:val="28"/>
              </w:rPr>
              <w:t>%) were the</w:t>
            </w:r>
            <w:r w:rsidR="00DD5963">
              <w:rPr>
                <w:rFonts w:ascii="Calibri" w:hAnsi="Calibri" w:cs="Calibri"/>
                <w:sz w:val="28"/>
                <w:szCs w:val="28"/>
              </w:rPr>
              <w:t xml:space="preserve"> most</w:t>
            </w:r>
            <w:r>
              <w:rPr>
                <w:rFonts w:ascii="Calibri" w:hAnsi="Calibri" w:cs="Calibri"/>
                <w:sz w:val="28"/>
                <w:szCs w:val="28"/>
              </w:rPr>
              <w:t xml:space="preserve"> notable</w:t>
            </w:r>
            <w:r w:rsidR="00D85B69" w:rsidRPr="00D85B69">
              <w:rPr>
                <w:rFonts w:ascii="Calibri" w:hAnsi="Calibri" w:cs="Calibri"/>
                <w:sz w:val="28"/>
                <w:szCs w:val="28"/>
              </w:rPr>
              <w:t xml:space="preserve"> decliners.</w:t>
            </w:r>
          </w:p>
        </w:tc>
      </w:tr>
      <w:tr w:rsidR="00693A3C" w:rsidRPr="006E2462" w14:paraId="2C331A7F" w14:textId="77777777" w:rsidTr="00221E46">
        <w:tc>
          <w:tcPr>
            <w:tcW w:w="9360" w:type="dxa"/>
            <w:vAlign w:val="center"/>
          </w:tcPr>
          <w:p w14:paraId="16D60965" w14:textId="77777777" w:rsidR="007E61E4" w:rsidRPr="006E2462" w:rsidRDefault="007E61E4" w:rsidP="006F2976">
            <w:pPr>
              <w:jc w:val="both"/>
              <w:rPr>
                <w:rFonts w:ascii="Calibri" w:hAnsi="Calibri" w:cs="Calibri"/>
                <w:b/>
                <w:bCs/>
                <w:sz w:val="28"/>
                <w:szCs w:val="28"/>
              </w:rPr>
            </w:pPr>
          </w:p>
        </w:tc>
      </w:tr>
      <w:tr w:rsidR="00693A3C" w:rsidRPr="006E2462" w14:paraId="009EE7A0" w14:textId="77777777" w:rsidTr="00221E46">
        <w:tc>
          <w:tcPr>
            <w:tcW w:w="9360" w:type="dxa"/>
            <w:shd w:val="clear" w:color="auto" w:fill="830A2B"/>
            <w:vAlign w:val="center"/>
          </w:tcPr>
          <w:p w14:paraId="3F8C3375" w14:textId="77777777" w:rsidR="00693A3C" w:rsidRPr="006E2462" w:rsidRDefault="00693A3C" w:rsidP="006F2976">
            <w:pPr>
              <w:spacing w:before="60" w:after="60"/>
              <w:ind w:firstLine="321"/>
              <w:jc w:val="both"/>
              <w:rPr>
                <w:rFonts w:ascii="Calibri" w:hAnsi="Calibri" w:cs="Calibri"/>
                <w:b/>
                <w:bCs/>
                <w:color w:val="830A2B"/>
                <w:sz w:val="28"/>
                <w:szCs w:val="28"/>
              </w:rPr>
            </w:pPr>
            <w:r w:rsidRPr="006E2462">
              <w:rPr>
                <w:rFonts w:ascii="Calibri" w:hAnsi="Calibri" w:cs="Calibri"/>
                <w:b/>
                <w:bCs/>
                <w:color w:val="FFFFFF" w:themeColor="background1"/>
                <w:sz w:val="28"/>
                <w:szCs w:val="28"/>
              </w:rPr>
              <w:t>Sectors and stocks daily highlights</w:t>
            </w:r>
          </w:p>
        </w:tc>
      </w:tr>
      <w:tr w:rsidR="00693A3C" w:rsidRPr="00606D67" w14:paraId="123A8A24" w14:textId="77777777" w:rsidTr="00221E46">
        <w:tc>
          <w:tcPr>
            <w:tcW w:w="9360" w:type="dxa"/>
            <w:vAlign w:val="center"/>
          </w:tcPr>
          <w:p w14:paraId="3BF46B39" w14:textId="1107CC55" w:rsidR="006A2750" w:rsidRDefault="006A2750" w:rsidP="00D85B69">
            <w:pPr>
              <w:pStyle w:val="ListParagraph"/>
              <w:numPr>
                <w:ilvl w:val="0"/>
                <w:numId w:val="1"/>
              </w:numPr>
              <w:shd w:val="clear" w:color="auto" w:fill="FFFFFF"/>
              <w:spacing w:before="60" w:line="240" w:lineRule="auto"/>
              <w:jc w:val="both"/>
              <w:rPr>
                <w:rFonts w:ascii="Calibri" w:hAnsi="Calibri" w:cs="Calibri"/>
                <w:sz w:val="28"/>
                <w:szCs w:val="28"/>
              </w:rPr>
            </w:pPr>
            <w:r w:rsidRPr="006A2750">
              <w:rPr>
                <w:rFonts w:ascii="Calibri" w:hAnsi="Calibri" w:cs="Calibri"/>
                <w:sz w:val="28"/>
                <w:szCs w:val="28"/>
              </w:rPr>
              <w:t>DVV</w:t>
            </w:r>
            <w:r w:rsidR="00DB7D56">
              <w:rPr>
                <w:rFonts w:ascii="Calibri" w:hAnsi="Calibri" w:cs="Calibri"/>
                <w:sz w:val="28"/>
                <w:szCs w:val="28"/>
              </w:rPr>
              <w:t xml:space="preserve"> (DatVietVAC)</w:t>
            </w:r>
            <w:r w:rsidRPr="006A2750">
              <w:rPr>
                <w:rFonts w:ascii="Calibri" w:hAnsi="Calibri" w:cs="Calibri"/>
                <w:sz w:val="28"/>
                <w:szCs w:val="28"/>
              </w:rPr>
              <w:t xml:space="preserve">: </w:t>
            </w:r>
            <w:r w:rsidR="00870914" w:rsidRPr="00870914">
              <w:rPr>
                <w:rFonts w:ascii="Calibri" w:hAnsi="Calibri" w:cs="Calibri"/>
                <w:sz w:val="28"/>
                <w:szCs w:val="28"/>
              </w:rPr>
              <w:t xml:space="preserve">Announced plans to distribute a 25% cash dividend (VND2,500/share), totaling approximately VND278.5bn, following its HOSE debut on November 2, 2026. The company reported 9M26 NPAT of </w:t>
            </w:r>
            <w:r w:rsidR="00870914" w:rsidRPr="00870914">
              <w:rPr>
                <w:rFonts w:ascii="Calibri" w:hAnsi="Calibri" w:cs="Calibri"/>
                <w:sz w:val="28"/>
                <w:szCs w:val="28"/>
              </w:rPr>
              <w:lastRenderedPageBreak/>
              <w:t>VND246bn (+6% YoY), achieving 59% of its FY26 target of VND420bn. Management anticipates stronger Q4 earnings, supported by concert activities, artist commercialization, and IP monetization, while targeting annual cash dividends of at least 15% through 2030.</w:t>
            </w:r>
          </w:p>
          <w:p w14:paraId="50E7764D" w14:textId="42F938B9" w:rsidR="00693A3C" w:rsidRDefault="009B0F26" w:rsidP="00D85B69">
            <w:pPr>
              <w:pStyle w:val="ListParagraph"/>
              <w:numPr>
                <w:ilvl w:val="0"/>
                <w:numId w:val="1"/>
              </w:numPr>
              <w:shd w:val="clear" w:color="auto" w:fill="FFFFFF"/>
              <w:spacing w:before="60" w:line="240" w:lineRule="auto"/>
              <w:jc w:val="both"/>
              <w:rPr>
                <w:rFonts w:ascii="Calibri" w:hAnsi="Calibri" w:cs="Calibri"/>
                <w:sz w:val="28"/>
                <w:szCs w:val="28"/>
              </w:rPr>
            </w:pPr>
            <w:r w:rsidRPr="009B0F26">
              <w:rPr>
                <w:rFonts w:ascii="Calibri" w:hAnsi="Calibri" w:cs="Calibri"/>
                <w:sz w:val="28"/>
                <w:szCs w:val="28"/>
              </w:rPr>
              <w:t>VNM (</w:t>
            </w:r>
            <w:r w:rsidR="00DB7D56">
              <w:rPr>
                <w:rFonts w:ascii="Calibri" w:hAnsi="Calibri" w:cs="Calibri"/>
                <w:sz w:val="28"/>
                <w:szCs w:val="28"/>
              </w:rPr>
              <w:t>-1.58%</w:t>
            </w:r>
            <w:r w:rsidRPr="009B0F26">
              <w:rPr>
                <w:rFonts w:ascii="Calibri" w:hAnsi="Calibri" w:cs="Calibri"/>
                <w:sz w:val="28"/>
                <w:szCs w:val="28"/>
              </w:rPr>
              <w:t>): Reported Q3/2026 net revenue of VND18.47tn (+9% YoY) and NPAT of VND2.96tn (+18% YoY), with gross margin remaining stable at 41.4%. For 9M26, revenue rose nearly 15% YoY to VND53.46tn, while NPAT surged over 30% YoY to VND8.61tn, fulfilling approximately 88% of its FY26 profit target.</w:t>
            </w:r>
          </w:p>
          <w:p w14:paraId="27416132" w14:textId="283B9F25" w:rsidR="00414ECE" w:rsidRPr="00606D67" w:rsidRDefault="00414ECE" w:rsidP="00D85B69">
            <w:pPr>
              <w:pStyle w:val="ListParagraph"/>
              <w:numPr>
                <w:ilvl w:val="0"/>
                <w:numId w:val="1"/>
              </w:numPr>
              <w:shd w:val="clear" w:color="auto" w:fill="FFFFFF"/>
              <w:spacing w:before="60" w:line="240" w:lineRule="auto"/>
              <w:jc w:val="both"/>
              <w:rPr>
                <w:rFonts w:ascii="Calibri" w:hAnsi="Calibri" w:cs="Calibri"/>
                <w:sz w:val="28"/>
                <w:szCs w:val="28"/>
              </w:rPr>
            </w:pPr>
            <w:r w:rsidRPr="00D85B69">
              <w:rPr>
                <w:rFonts w:ascii="Calibri" w:hAnsi="Calibri" w:cs="Calibri"/>
                <w:sz w:val="28"/>
                <w:szCs w:val="28"/>
              </w:rPr>
              <w:t xml:space="preserve">Foreign investors recorded net selling of VND </w:t>
            </w:r>
            <w:r w:rsidR="00585223">
              <w:rPr>
                <w:rFonts w:ascii="Calibri" w:hAnsi="Calibri" w:cs="Calibri"/>
                <w:sz w:val="28"/>
                <w:szCs w:val="28"/>
              </w:rPr>
              <w:t>521.54</w:t>
            </w:r>
            <w:r w:rsidRPr="00D85B69">
              <w:rPr>
                <w:rFonts w:ascii="Calibri" w:hAnsi="Calibri" w:cs="Calibri"/>
                <w:sz w:val="28"/>
                <w:szCs w:val="28"/>
              </w:rPr>
              <w:t xml:space="preserve"> billion. </w:t>
            </w:r>
            <w:r w:rsidR="00585223">
              <w:rPr>
                <w:rFonts w:ascii="Calibri" w:hAnsi="Calibri" w:cs="Calibri"/>
                <w:sz w:val="28"/>
                <w:szCs w:val="28"/>
              </w:rPr>
              <w:t>Banking sector faced heavy selling, including MBB (-2.85%), VCB (-4.80%), ACB (-3.33%), STB (-1.81%)</w:t>
            </w:r>
            <w:r w:rsidRPr="00D85B69">
              <w:rPr>
                <w:rFonts w:ascii="Calibri" w:hAnsi="Calibri" w:cs="Calibri"/>
                <w:sz w:val="28"/>
                <w:szCs w:val="28"/>
              </w:rPr>
              <w:t>, while no stocks attracted notable net foreign buying interest.</w:t>
            </w:r>
          </w:p>
        </w:tc>
      </w:tr>
    </w:tbl>
    <w:p w14:paraId="6AD24BC9" w14:textId="77777777" w:rsidR="00693A3C" w:rsidRPr="00606D67" w:rsidRDefault="00693A3C" w:rsidP="006F2976">
      <w:pPr>
        <w:jc w:val="both"/>
        <w:rPr>
          <w:rFonts w:ascii="Calibri" w:hAnsi="Calibri" w:cs="Calibri"/>
          <w:sz w:val="28"/>
          <w:szCs w:val="28"/>
        </w:rPr>
      </w:pPr>
      <w:r w:rsidRPr="00606D67">
        <w:rPr>
          <w:rFonts w:ascii="Calibri" w:hAnsi="Calibri" w:cs="Calibri"/>
          <w:sz w:val="28"/>
          <w:szCs w:val="28"/>
        </w:rPr>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93A3C" w:rsidRPr="006E2462" w14:paraId="474CEC66" w14:textId="77777777" w:rsidTr="00221E46">
        <w:tc>
          <w:tcPr>
            <w:tcW w:w="9360" w:type="dxa"/>
            <w:vAlign w:val="center"/>
          </w:tcPr>
          <w:p w14:paraId="20B24D84" w14:textId="77777777" w:rsidR="00693A3C" w:rsidRPr="006E2462" w:rsidRDefault="00693A3C" w:rsidP="006F2976">
            <w:pPr>
              <w:shd w:val="clear" w:color="auto" w:fill="FFFFFF"/>
              <w:jc w:val="both"/>
              <w:rPr>
                <w:rFonts w:ascii="Calibri" w:hAnsi="Calibri" w:cs="Calibri"/>
                <w:b/>
                <w:bCs/>
                <w:color w:val="830A2B"/>
                <w:sz w:val="28"/>
                <w:szCs w:val="28"/>
              </w:rPr>
            </w:pPr>
            <w:r w:rsidRPr="006E2462">
              <w:rPr>
                <w:rFonts w:ascii="Calibri" w:eastAsia="MS Mincho" w:hAnsi="Calibri" w:cs="Calibri"/>
                <w:b/>
                <w:bCs/>
                <w:color w:val="830A2B"/>
                <w:sz w:val="28"/>
                <w:szCs w:val="28"/>
              </w:rPr>
              <w:lastRenderedPageBreak/>
              <w:t>【</w:t>
            </w:r>
            <w:r w:rsidRPr="006E2462">
              <w:rPr>
                <w:rFonts w:ascii="Calibri" w:hAnsi="Calibri" w:cs="Calibri"/>
                <w:b/>
                <w:bCs/>
                <w:color w:val="830A2B"/>
                <w:sz w:val="28"/>
                <w:szCs w:val="28"/>
              </w:rPr>
              <w:t>Disclaimer</w:t>
            </w:r>
            <w:r w:rsidRPr="006E2462">
              <w:rPr>
                <w:rFonts w:ascii="Calibri" w:eastAsia="MS Mincho" w:hAnsi="Calibri" w:cs="Calibri"/>
                <w:b/>
                <w:bCs/>
                <w:color w:val="830A2B"/>
                <w:sz w:val="28"/>
                <w:szCs w:val="28"/>
              </w:rPr>
              <w:t>】</w:t>
            </w:r>
          </w:p>
          <w:p w14:paraId="73547F37" w14:textId="77777777" w:rsidR="00693A3C" w:rsidRPr="006E2462" w:rsidRDefault="00693A3C" w:rsidP="006F2976">
            <w:pPr>
              <w:shd w:val="clear" w:color="auto" w:fill="FFFFFF"/>
              <w:jc w:val="both"/>
              <w:rPr>
                <w:rFonts w:ascii="Calibri" w:hAnsi="Calibri" w:cs="Calibri"/>
                <w:i/>
                <w:iCs/>
                <w:sz w:val="28"/>
                <w:szCs w:val="28"/>
              </w:rPr>
            </w:pPr>
            <w:r w:rsidRPr="006E2462">
              <w:rPr>
                <w:rFonts w:ascii="Calibri" w:hAnsi="Calibri" w:cs="Calibri"/>
                <w:i/>
                <w:iCs/>
                <w:sz w:val="28"/>
                <w:szCs w:val="28"/>
              </w:rPr>
              <w:t>This material has been prepared by Japan Securities Co., Ltd. (“JSI”) for the sole purpose of providing relevant information to investors. While JSI has made reasonable efforts to ensure the accuracy and completeness of the information contained herein, no representation or warranty, express or implied, is made as to its accuracy, completeness, or reliability. JSI accepts no liability for any errors or omissions, nor for any loss or damage arising from the use of this material. Investing in securities involves risks. Investors should carefully consider their investment objectives and risk tolerance before making any investment decisions.</w:t>
            </w:r>
          </w:p>
          <w:p w14:paraId="0BA15F03" w14:textId="77777777" w:rsidR="00693A3C" w:rsidRPr="006E2462" w:rsidRDefault="00693A3C" w:rsidP="006F2976">
            <w:pPr>
              <w:shd w:val="clear" w:color="auto" w:fill="FFFFFF"/>
              <w:jc w:val="both"/>
              <w:rPr>
                <w:rFonts w:ascii="Calibri" w:hAnsi="Calibri" w:cs="Calibri"/>
                <w:i/>
                <w:iCs/>
                <w:sz w:val="28"/>
                <w:szCs w:val="28"/>
              </w:rPr>
            </w:pPr>
            <w:r w:rsidRPr="006E2462">
              <w:rPr>
                <w:rFonts w:ascii="Calibri" w:hAnsi="Calibri" w:cs="Calibri"/>
                <w:i/>
                <w:iCs/>
                <w:sz w:val="28"/>
                <w:szCs w:val="28"/>
              </w:rPr>
              <w:t>This document is provided for informational purposes only and does not constitute an offer or solicitation to buy or sell any securities mentioned herein in any jurisdiction. This report is confidential and intended solely for the recipient. It may not be reproduced, redistributed, or transmitted, in whole or in part, in any form or by any means, without the prior written consent of JSI.</w:t>
            </w:r>
          </w:p>
          <w:p w14:paraId="48C6BDA5" w14:textId="77777777" w:rsidR="00693A3C" w:rsidRPr="006E2462" w:rsidRDefault="00693A3C" w:rsidP="006F2976">
            <w:pPr>
              <w:shd w:val="clear" w:color="auto" w:fill="FFFFFF"/>
              <w:jc w:val="both"/>
              <w:rPr>
                <w:rFonts w:ascii="Calibri" w:hAnsi="Calibri" w:cs="Calibri"/>
                <w:b/>
                <w:bCs/>
                <w:i/>
                <w:iCs/>
                <w:sz w:val="28"/>
                <w:szCs w:val="28"/>
              </w:rPr>
            </w:pPr>
            <w:r w:rsidRPr="006E2462">
              <w:rPr>
                <w:rFonts w:ascii="Calibri" w:hAnsi="Calibri" w:cs="Calibri"/>
                <w:b/>
                <w:bCs/>
                <w:i/>
                <w:iCs/>
                <w:sz w:val="28"/>
                <w:szCs w:val="28"/>
              </w:rPr>
              <w:t>For U.S. Persons Only:</w:t>
            </w:r>
          </w:p>
          <w:p w14:paraId="0B664EB1" w14:textId="77777777" w:rsidR="00693A3C" w:rsidRPr="006E2462" w:rsidRDefault="00693A3C" w:rsidP="006F2976">
            <w:pPr>
              <w:shd w:val="clear" w:color="auto" w:fill="FFFFFF"/>
              <w:jc w:val="both"/>
              <w:rPr>
                <w:rFonts w:ascii="Calibri" w:hAnsi="Calibri" w:cs="Calibri"/>
                <w:i/>
                <w:iCs/>
                <w:sz w:val="28"/>
                <w:szCs w:val="28"/>
              </w:rPr>
            </w:pPr>
            <w:r w:rsidRPr="006E2462">
              <w:rPr>
                <w:rFonts w:ascii="Calibri" w:hAnsi="Calibri" w:cs="Calibri"/>
                <w:i/>
                <w:iCs/>
                <w:sz w:val="28"/>
                <w:szCs w:val="28"/>
              </w:rPr>
              <w:t xml:space="preserve">Research report is a product of JSI </w:t>
            </w:r>
            <w:r w:rsidRPr="006E2462">
              <w:rPr>
                <w:rFonts w:ascii="Calibri" w:hAnsi="Calibri" w:cs="Calibri"/>
                <w:b/>
                <w:bCs/>
                <w:i/>
                <w:iCs/>
                <w:sz w:val="28"/>
                <w:szCs w:val="28"/>
              </w:rPr>
              <w:t>under Marco Polo Securities 15a-6 chaperone service</w:t>
            </w:r>
            <w:r w:rsidRPr="006E2462">
              <w:rPr>
                <w:rFonts w:ascii="Calibri" w:hAnsi="Calibri" w:cs="Calibri"/>
                <w:i/>
                <w:iCs/>
                <w:sz w:val="28"/>
                <w:szCs w:val="28"/>
              </w:rPr>
              <w:t xml:space="preserve"> which is the employer of the research analyst(s) who has prepared the research report. The research analyst(s) preparing the research report is/are resident outside the United States (U.S.) and are not associated persons of any U.S. regulated broker-dealer and therefore the analyst(s) is/are not subject to supervision by a U.S. broker-dealer, and is/are not required to satisfy the regulatory licensing requirements of FINRA or required to otherwise comply with U.S. rules or regulations regarding, among other things, communications with a subject company, public appearances and trading securities held by a research analyst account.</w:t>
            </w:r>
          </w:p>
          <w:p w14:paraId="6EE5976B" w14:textId="77777777" w:rsidR="00693A3C" w:rsidRPr="006E2462" w:rsidRDefault="00693A3C" w:rsidP="006F2976">
            <w:pPr>
              <w:shd w:val="clear" w:color="auto" w:fill="FFFFFF"/>
              <w:jc w:val="both"/>
              <w:rPr>
                <w:rFonts w:ascii="Calibri" w:hAnsi="Calibri" w:cs="Calibri"/>
                <w:i/>
                <w:iCs/>
                <w:sz w:val="28"/>
                <w:szCs w:val="28"/>
              </w:rPr>
            </w:pPr>
            <w:r w:rsidRPr="006E2462">
              <w:rPr>
                <w:rFonts w:ascii="Calibri" w:hAnsi="Calibri" w:cs="Calibri"/>
                <w:i/>
                <w:iCs/>
                <w:sz w:val="28"/>
                <w:szCs w:val="28"/>
              </w:rPr>
              <w:t xml:space="preserve">Research reports are intended for distribution by only to "Major Institutional Investors" as defined by Rule 15a-6(b)(4) of the U.S. Securities and Exchange Act, 1934 (the Exchange Act) and interpretations thereof by U.S. Securities and Exchange Commission (SEC) in reliance on Rule 15a 6(a)(2). If the recipient of this report is not a Major Institutional Investor as specified above, then it should not act upon this report and return the same to the sender. Further, this report may not be copied, duplicated and/or transmitted onward to any U.S. person, which is not the Major Institutional Investor. In reliance on the exemption from registration provided by Rule 15a-6 of the Exchange Act and interpretations thereof by the SEC in order to conduct certain business with Major Institutional </w:t>
            </w:r>
            <w:r w:rsidRPr="006E2462">
              <w:rPr>
                <w:rFonts w:ascii="Calibri" w:hAnsi="Calibri" w:cs="Calibri"/>
                <w:i/>
                <w:iCs/>
                <w:sz w:val="28"/>
                <w:szCs w:val="28"/>
              </w:rPr>
              <w:lastRenderedPageBreak/>
              <w:t>Investors, JSI has entered into a chaperoning agreement with a U.S. registered broker-dealer, Marco Polo Securities Inc. ("Marco Polo").</w:t>
            </w:r>
          </w:p>
          <w:p w14:paraId="78EEC9C5" w14:textId="77777777" w:rsidR="00693A3C" w:rsidRPr="006E2462" w:rsidRDefault="00693A3C" w:rsidP="006F2976">
            <w:pPr>
              <w:shd w:val="clear" w:color="auto" w:fill="FFFFFF"/>
              <w:jc w:val="both"/>
              <w:rPr>
                <w:rFonts w:ascii="Calibri" w:hAnsi="Calibri" w:cs="Calibri"/>
                <w:i/>
                <w:iCs/>
                <w:sz w:val="28"/>
                <w:szCs w:val="28"/>
              </w:rPr>
            </w:pPr>
            <w:r w:rsidRPr="006E2462">
              <w:rPr>
                <w:rFonts w:ascii="Calibri" w:hAnsi="Calibri" w:cs="Calibri"/>
                <w:i/>
                <w:iCs/>
                <w:sz w:val="28"/>
                <w:szCs w:val="28"/>
              </w:rPr>
              <w:t>Transactions in securities discussed in this research report should be effected through Marco Polo or another U.S. registered broker dealer.</w:t>
            </w:r>
          </w:p>
          <w:p w14:paraId="7BBF8BF7" w14:textId="77777777" w:rsidR="00693A3C" w:rsidRPr="006E2462" w:rsidRDefault="00693A3C" w:rsidP="006F2976">
            <w:pPr>
              <w:shd w:val="clear" w:color="auto" w:fill="FFFFFF"/>
              <w:jc w:val="both"/>
              <w:rPr>
                <w:rFonts w:ascii="Calibri" w:hAnsi="Calibri" w:cs="Calibri"/>
                <w:i/>
                <w:iCs/>
                <w:sz w:val="28"/>
                <w:szCs w:val="28"/>
                <w:lang w:val="vi-VN"/>
              </w:rPr>
            </w:pPr>
          </w:p>
          <w:p w14:paraId="7E69773E" w14:textId="77777777" w:rsidR="00693A3C" w:rsidRPr="006E2462" w:rsidRDefault="00693A3C" w:rsidP="006F2976">
            <w:pPr>
              <w:shd w:val="clear" w:color="auto" w:fill="FFFFFF"/>
              <w:jc w:val="both"/>
              <w:rPr>
                <w:rFonts w:ascii="Calibri" w:hAnsi="Calibri" w:cs="Calibri"/>
                <w:i/>
                <w:iCs/>
                <w:sz w:val="28"/>
                <w:szCs w:val="28"/>
                <w:lang w:val="vi-VN"/>
              </w:rPr>
            </w:pPr>
          </w:p>
          <w:p w14:paraId="2F1070BF" w14:textId="77777777" w:rsidR="00693A3C" w:rsidRPr="006E2462" w:rsidRDefault="00693A3C" w:rsidP="006F2976">
            <w:pPr>
              <w:shd w:val="clear" w:color="auto" w:fill="FFFFFF"/>
              <w:jc w:val="both"/>
              <w:rPr>
                <w:rFonts w:ascii="Calibri" w:hAnsi="Calibri" w:cs="Calibri"/>
                <w:b/>
                <w:bCs/>
                <w:i/>
                <w:iCs/>
                <w:sz w:val="28"/>
                <w:szCs w:val="28"/>
              </w:rPr>
            </w:pPr>
            <w:r w:rsidRPr="006E2462">
              <w:rPr>
                <w:rFonts w:ascii="Calibri" w:hAnsi="Calibri" w:cs="Calibri"/>
                <w:b/>
                <w:bCs/>
                <w:i/>
                <w:iCs/>
                <w:sz w:val="28"/>
                <w:szCs w:val="28"/>
              </w:rPr>
              <w:t>Regulatory Information:</w:t>
            </w:r>
          </w:p>
          <w:p w14:paraId="24C22688" w14:textId="77777777" w:rsidR="00693A3C" w:rsidRPr="006E2462" w:rsidRDefault="00693A3C" w:rsidP="006F2976">
            <w:pPr>
              <w:shd w:val="clear" w:color="auto" w:fill="FFFFFF"/>
              <w:jc w:val="both"/>
              <w:rPr>
                <w:rFonts w:ascii="Calibri" w:hAnsi="Calibri" w:cs="Calibri"/>
                <w:sz w:val="28"/>
                <w:szCs w:val="28"/>
              </w:rPr>
            </w:pPr>
            <w:r w:rsidRPr="006E2462">
              <w:rPr>
                <w:rFonts w:ascii="Calibri" w:hAnsi="Calibri" w:cs="Calibri"/>
                <w:i/>
                <w:iCs/>
                <w:sz w:val="28"/>
                <w:szCs w:val="28"/>
              </w:rPr>
              <w:t>Japan Securities Co., Ltd. is a licensed securities firm regulated by the State Securities Commission (SSC) of Vietnam under Registration Number 129/GP-UBCK. JSI is a member of the Vietnam Stock Exchange (VNX), the Hanoi Stock Exchange (HNX), the Ho Chi Minh Stock Exchange (HOSE), and the Vietnam Securities Depository and Clearing Corporation (VSDC). Its registered office is located at Suite 701, Tower 1, Capital Place, 29 Lieu Giai, Ngoc Ha Ward, Hanoi, Vietnam</w:t>
            </w:r>
            <w:r w:rsidRPr="006E2462">
              <w:rPr>
                <w:rFonts w:ascii="Calibri" w:hAnsi="Calibri" w:cs="Calibri"/>
                <w:b/>
                <w:bCs/>
                <w:i/>
                <w:iCs/>
                <w:sz w:val="28"/>
                <w:szCs w:val="28"/>
              </w:rPr>
              <w:t>.</w:t>
            </w:r>
          </w:p>
        </w:tc>
      </w:tr>
      <w:bookmarkEnd w:id="0"/>
    </w:tbl>
    <w:p w14:paraId="6D15D959" w14:textId="5CA69DB5" w:rsidR="00693A3C" w:rsidRPr="006E2462" w:rsidRDefault="00693A3C" w:rsidP="006F2976">
      <w:pPr>
        <w:spacing w:before="240" w:after="240" w:line="276" w:lineRule="auto"/>
        <w:jc w:val="both"/>
        <w:rPr>
          <w:rFonts w:ascii="Calibri" w:eastAsia="Meiryo" w:hAnsi="Calibri" w:cs="Calibri"/>
          <w:b/>
          <w:bCs/>
          <w:i/>
          <w:iCs/>
          <w:sz w:val="28"/>
          <w:szCs w:val="28"/>
        </w:rPr>
      </w:pPr>
    </w:p>
    <w:p w14:paraId="2EBC9CF9" w14:textId="77777777" w:rsidR="005256C5" w:rsidRPr="006E2462" w:rsidRDefault="005256C5" w:rsidP="006F2976">
      <w:pPr>
        <w:jc w:val="both"/>
        <w:rPr>
          <w:rFonts w:ascii="Calibri" w:hAnsi="Calibri" w:cs="Calibri"/>
          <w:sz w:val="28"/>
          <w:szCs w:val="28"/>
        </w:rPr>
      </w:pPr>
    </w:p>
    <w:sectPr w:rsidR="005256C5" w:rsidRPr="006E2462" w:rsidSect="00693A3C">
      <w:headerReference w:type="default" r:id="rId8"/>
      <w:footerReference w:type="default" r:id="rId9"/>
      <w:pgSz w:w="12240" w:h="15840"/>
      <w:pgMar w:top="1440" w:right="1440" w:bottom="1440" w:left="144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8B64" w14:textId="77777777" w:rsidR="00984E08" w:rsidRDefault="00984E08">
      <w:pPr>
        <w:spacing w:after="0" w:line="240" w:lineRule="auto"/>
      </w:pPr>
      <w:r>
        <w:separator/>
      </w:r>
    </w:p>
  </w:endnote>
  <w:endnote w:type="continuationSeparator" w:id="0">
    <w:p w14:paraId="440514D9" w14:textId="77777777" w:rsidR="00984E08" w:rsidRDefault="00984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FFFFFF" w:themeColor="background1"/>
      </w:rPr>
      <w:id w:val="-243181434"/>
      <w:docPartObj>
        <w:docPartGallery w:val="Page Numbers (Bottom of Page)"/>
        <w:docPartUnique/>
      </w:docPartObj>
    </w:sdtPr>
    <w:sdtEndPr>
      <w:rPr>
        <w:noProof/>
      </w:rPr>
    </w:sdtEndPr>
    <w:sdtContent>
      <w:p w14:paraId="0786313E" w14:textId="77777777" w:rsidR="00693A3C" w:rsidRDefault="00693A3C">
        <w:pPr>
          <w:pStyle w:val="Footer"/>
          <w:jc w:val="right"/>
          <w:rPr>
            <w:b/>
            <w:bCs/>
            <w:color w:val="FFFFFF" w:themeColor="background1"/>
          </w:rPr>
        </w:pPr>
        <w:r w:rsidRPr="00BA771E">
          <w:rPr>
            <w:rFonts w:cstheme="minorHAnsi"/>
            <w:b/>
            <w:bCs/>
            <w:noProof/>
            <w:color w:val="FFFFFF" w:themeColor="background1"/>
            <w:sz w:val="24"/>
            <w:szCs w:val="24"/>
          </w:rPr>
          <mc:AlternateContent>
            <mc:Choice Requires="wps">
              <w:drawing>
                <wp:anchor distT="0" distB="0" distL="114300" distR="114300" simplePos="0" relativeHeight="251659264" behindDoc="1" locked="0" layoutInCell="1" allowOverlap="1" wp14:anchorId="0F7BC21E" wp14:editId="19D2BD29">
                  <wp:simplePos x="0" y="0"/>
                  <wp:positionH relativeFrom="margin">
                    <wp:posOffset>5810250</wp:posOffset>
                  </wp:positionH>
                  <wp:positionV relativeFrom="paragraph">
                    <wp:posOffset>-10160</wp:posOffset>
                  </wp:positionV>
                  <wp:extent cx="190500" cy="190500"/>
                  <wp:effectExtent l="0" t="0" r="19050" b="19050"/>
                  <wp:wrapNone/>
                  <wp:docPr id="1694553048" name="Oval 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830A2B"/>
                          </a:solidFill>
                          <a:ln>
                            <a:solidFill>
                              <a:srgbClr val="830A2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E5F56E" id="Oval 4" o:spid="_x0000_s1026" style="position:absolute;margin-left:457.5pt;margin-top:-.8pt;width:15pt;height: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" fillcolor="#830a2b" strokecolor="#830a2b" strokeweight="1.5pt">
                  <v:stroke joinstyle="miter"/>
                  <w10:wrap anchorx="margin"/>
                </v:oval>
              </w:pict>
            </mc:Fallback>
          </mc:AlternateContent>
        </w:r>
        <w:r w:rsidRPr="00BA771E">
          <w:rPr>
            <w:rFonts w:cstheme="minorHAnsi"/>
            <w:b/>
            <w:bCs/>
            <w:noProof/>
            <w:color w:val="FFFFFF" w:themeColor="background1"/>
            <w:sz w:val="24"/>
            <w:szCs w:val="24"/>
          </w:rPr>
          <mc:AlternateContent>
            <mc:Choice Requires="wps">
              <w:drawing>
                <wp:anchor distT="0" distB="0" distL="114300" distR="114300" simplePos="0" relativeHeight="251657216" behindDoc="0" locked="0" layoutInCell="1" allowOverlap="1" wp14:anchorId="44AF9394" wp14:editId="1EBD6BC2">
                  <wp:simplePos x="0" y="0"/>
                  <wp:positionH relativeFrom="column">
                    <wp:posOffset>0</wp:posOffset>
                  </wp:positionH>
                  <wp:positionV relativeFrom="paragraph">
                    <wp:posOffset>-57785</wp:posOffset>
                  </wp:positionV>
                  <wp:extent cx="5962650" cy="0"/>
                  <wp:effectExtent l="0" t="0" r="0" b="0"/>
                  <wp:wrapNone/>
                  <wp:docPr id="2138043270" name="Straight Connector 2138043270"/>
                  <wp:cNvGraphicFramePr/>
                  <a:graphic xmlns:a="http://schemas.openxmlformats.org/drawingml/2006/main">
                    <a:graphicData uri="http://schemas.microsoft.com/office/word/2010/wordprocessingShape">
                      <wps:wsp>
                        <wps:cNvCnPr/>
                        <wps:spPr>
                          <a:xfrm>
                            <a:off x="0" y="0"/>
                            <a:ext cx="5962650" cy="0"/>
                          </a:xfrm>
                          <a:prstGeom prst="line">
                            <a:avLst/>
                          </a:prstGeom>
                          <a:ln>
                            <a:solidFill>
                              <a:srgbClr val="830A2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E48CCC" id="Straight Connector 2138043270"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0,-4.55pt" to="469.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" strokecolor="#830a2b" strokeweight="1pt">
                  <v:stroke joinstyle="miter"/>
                </v:line>
              </w:pict>
            </mc:Fallback>
          </mc:AlternateContent>
        </w:r>
        <w:r w:rsidRPr="00BA771E">
          <w:rPr>
            <w:b/>
            <w:bCs/>
            <w:color w:val="FFFFFF" w:themeColor="background1"/>
          </w:rPr>
          <w:fldChar w:fldCharType="begin"/>
        </w:r>
        <w:r w:rsidRPr="00BA771E">
          <w:rPr>
            <w:b/>
            <w:bCs/>
            <w:color w:val="FFFFFF" w:themeColor="background1"/>
          </w:rPr>
          <w:instrText xml:space="preserve"> PAGE   \* MERGEFORMAT </w:instrText>
        </w:r>
        <w:r w:rsidRPr="00BA771E">
          <w:rPr>
            <w:b/>
            <w:bCs/>
            <w:color w:val="FFFFFF" w:themeColor="background1"/>
          </w:rPr>
          <w:fldChar w:fldCharType="separate"/>
        </w:r>
        <w:r w:rsidRPr="00BA771E">
          <w:rPr>
            <w:b/>
            <w:bCs/>
            <w:noProof/>
            <w:color w:val="FFFFFF" w:themeColor="background1"/>
          </w:rPr>
          <w:t>2</w:t>
        </w:r>
        <w:r w:rsidRPr="00BA771E">
          <w:rPr>
            <w:b/>
            <w:bCs/>
            <w:noProof/>
            <w:color w:val="FFFFFF" w:themeColor="background1"/>
          </w:rPr>
          <w:fldChar w:fldCharType="end"/>
        </w:r>
      </w:p>
    </w:sdtContent>
  </w:sdt>
  <w:p w14:paraId="421BDB69" w14:textId="77777777" w:rsidR="00693A3C" w:rsidRPr="0068505D" w:rsidRDefault="00693A3C" w:rsidP="00685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156D" w14:textId="77777777" w:rsidR="00984E08" w:rsidRDefault="00984E08">
      <w:pPr>
        <w:spacing w:after="0" w:line="240" w:lineRule="auto"/>
      </w:pPr>
      <w:r>
        <w:separator/>
      </w:r>
    </w:p>
  </w:footnote>
  <w:footnote w:type="continuationSeparator" w:id="0">
    <w:p w14:paraId="11EAD77B" w14:textId="77777777" w:rsidR="00984E08" w:rsidRDefault="00984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8DD3" w14:textId="348BF021" w:rsidR="00693A3C" w:rsidRPr="000D262C" w:rsidRDefault="00693A3C" w:rsidP="00827C2C">
    <w:pPr>
      <w:pStyle w:val="Header"/>
      <w:rPr>
        <w:rFonts w:cstheme="minorHAnsi"/>
        <w:b/>
        <w:bCs/>
        <w:sz w:val="24"/>
        <w:szCs w:val="24"/>
      </w:rPr>
    </w:pPr>
    <w:r w:rsidRPr="000D262C">
      <w:rPr>
        <w:rFonts w:cstheme="minorHAnsi"/>
        <w:b/>
        <w:bCs/>
        <w:noProof/>
        <w:sz w:val="24"/>
        <w:szCs w:val="24"/>
      </w:rPr>
      <w:drawing>
        <wp:anchor distT="0" distB="0" distL="114300" distR="114300" simplePos="0" relativeHeight="251658240" behindDoc="0" locked="0" layoutInCell="1" allowOverlap="1" wp14:anchorId="7306004F" wp14:editId="55FA519E">
          <wp:simplePos x="0" y="0"/>
          <wp:positionH relativeFrom="column">
            <wp:posOffset>-13970</wp:posOffset>
          </wp:positionH>
          <wp:positionV relativeFrom="paragraph">
            <wp:posOffset>-13970</wp:posOffset>
          </wp:positionV>
          <wp:extent cx="214685" cy="215078"/>
          <wp:effectExtent l="0" t="0" r="0" b="0"/>
          <wp:wrapNone/>
          <wp:docPr id="240477009" name="Picture 3" descr="A logo with a star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77009" name="Picture 3" descr="A logo with a star and a flow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4685" cy="215078"/>
                  </a:xfrm>
                  <a:prstGeom prst="rect">
                    <a:avLst/>
                  </a:prstGeom>
                </pic:spPr>
              </pic:pic>
            </a:graphicData>
          </a:graphic>
        </wp:anchor>
      </w:drawing>
    </w:r>
    <w:r>
      <w:rPr>
        <w:rFonts w:cstheme="minorHAnsi"/>
        <w:b/>
        <w:bCs/>
        <w:noProof/>
        <w:sz w:val="24"/>
        <w:szCs w:val="24"/>
      </w:rPr>
      <w:t xml:space="preserve">   </w:t>
    </w:r>
    <w:r w:rsidRPr="000D262C">
      <w:rPr>
        <w:rFonts w:cstheme="minorHAnsi"/>
        <w:b/>
        <w:bCs/>
        <w:noProof/>
        <w:sz w:val="24"/>
        <w:szCs w:val="24"/>
      </w:rPr>
      <w:t xml:space="preserve"> </w:t>
    </w:r>
    <w:r w:rsidR="00EF1E1D">
      <w:rPr>
        <w:rFonts w:cstheme="minorHAnsi"/>
        <w:b/>
        <w:bCs/>
        <w:noProof/>
        <w:sz w:val="24"/>
        <w:szCs w:val="24"/>
      </w:rPr>
      <w:t xml:space="preserve">    </w:t>
    </w:r>
    <w:r w:rsidRPr="001806A4">
      <w:rPr>
        <w:rFonts w:cstheme="minorHAnsi"/>
        <w:b/>
        <w:bCs/>
        <w:noProof/>
        <w:sz w:val="24"/>
        <w:szCs w:val="24"/>
      </w:rPr>
      <w:t>Japan Securities Co., Ltd.</w:t>
    </w:r>
  </w:p>
  <w:p w14:paraId="5055A162" w14:textId="77777777" w:rsidR="00693A3C" w:rsidRPr="00D82967" w:rsidRDefault="00693A3C">
    <w:pPr>
      <w:pStyle w:val="Header"/>
    </w:pPr>
    <w:r w:rsidRPr="00421941">
      <w:rPr>
        <w:rFonts w:cstheme="minorHAnsi"/>
        <w:noProof/>
        <w:sz w:val="24"/>
        <w:szCs w:val="24"/>
      </w:rPr>
      <mc:AlternateContent>
        <mc:Choice Requires="wps">
          <w:drawing>
            <wp:anchor distT="0" distB="0" distL="114300" distR="114300" simplePos="0" relativeHeight="251656192" behindDoc="0" locked="0" layoutInCell="1" allowOverlap="1" wp14:anchorId="5E5F16B1" wp14:editId="00F664D0">
              <wp:simplePos x="0" y="0"/>
              <wp:positionH relativeFrom="column">
                <wp:posOffset>-9525</wp:posOffset>
              </wp:positionH>
              <wp:positionV relativeFrom="paragraph">
                <wp:posOffset>56846</wp:posOffset>
              </wp:positionV>
              <wp:extent cx="5962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62650" cy="0"/>
                      </a:xfrm>
                      <a:prstGeom prst="line">
                        <a:avLst/>
                      </a:prstGeom>
                      <a:ln>
                        <a:solidFill>
                          <a:srgbClr val="830A2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3CC982"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75pt,4.5pt" to="468.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" strokecolor="#830a2b"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01CAE"/>
    <w:multiLevelType w:val="multilevel"/>
    <w:tmpl w:val="F498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466E7"/>
    <w:multiLevelType w:val="hybridMultilevel"/>
    <w:tmpl w:val="EED4B9DA"/>
    <w:lvl w:ilvl="0" w:tplc="16D0A5AC">
      <w:start w:val="1"/>
      <w:numFmt w:val="bullet"/>
      <w:lvlText w:val="•"/>
      <w:lvlJc w:val="left"/>
      <w:pPr>
        <w:ind w:left="720" w:hanging="360"/>
      </w:pPr>
      <w:rPr>
        <w:rFonts w:ascii="Sitka Small" w:hAnsi="Sitka Smal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42012164">
    <w:abstractNumId w:val="1"/>
  </w:num>
  <w:num w:numId="2" w16cid:durableId="415634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3C"/>
    <w:rsid w:val="00007788"/>
    <w:rsid w:val="00015E31"/>
    <w:rsid w:val="00016AA1"/>
    <w:rsid w:val="0001794A"/>
    <w:rsid w:val="00031EA7"/>
    <w:rsid w:val="00037C95"/>
    <w:rsid w:val="00041DC5"/>
    <w:rsid w:val="000455EB"/>
    <w:rsid w:val="00064F4A"/>
    <w:rsid w:val="00065F82"/>
    <w:rsid w:val="00075D92"/>
    <w:rsid w:val="00086EBC"/>
    <w:rsid w:val="00086F6B"/>
    <w:rsid w:val="00090A15"/>
    <w:rsid w:val="000A33E0"/>
    <w:rsid w:val="000D2FFA"/>
    <w:rsid w:val="000E247A"/>
    <w:rsid w:val="000E38E9"/>
    <w:rsid w:val="000E6F6D"/>
    <w:rsid w:val="000F2B82"/>
    <w:rsid w:val="0010099C"/>
    <w:rsid w:val="00105225"/>
    <w:rsid w:val="00115EA5"/>
    <w:rsid w:val="001214EC"/>
    <w:rsid w:val="00141BD4"/>
    <w:rsid w:val="00150E78"/>
    <w:rsid w:val="00151D91"/>
    <w:rsid w:val="00154633"/>
    <w:rsid w:val="001726D1"/>
    <w:rsid w:val="00172DF6"/>
    <w:rsid w:val="00186EAE"/>
    <w:rsid w:val="00190500"/>
    <w:rsid w:val="00190CA0"/>
    <w:rsid w:val="001A2246"/>
    <w:rsid w:val="001A2B4B"/>
    <w:rsid w:val="001A5B7A"/>
    <w:rsid w:val="001A5DF4"/>
    <w:rsid w:val="001B15B7"/>
    <w:rsid w:val="001B2861"/>
    <w:rsid w:val="001B32D1"/>
    <w:rsid w:val="001C56DB"/>
    <w:rsid w:val="001C678A"/>
    <w:rsid w:val="001D5CDC"/>
    <w:rsid w:val="001F0512"/>
    <w:rsid w:val="001F49B5"/>
    <w:rsid w:val="00200C5D"/>
    <w:rsid w:val="00202263"/>
    <w:rsid w:val="0020374B"/>
    <w:rsid w:val="0021503B"/>
    <w:rsid w:val="00230A05"/>
    <w:rsid w:val="00234351"/>
    <w:rsid w:val="00237E41"/>
    <w:rsid w:val="002505CB"/>
    <w:rsid w:val="002622E3"/>
    <w:rsid w:val="0026387D"/>
    <w:rsid w:val="00272EFC"/>
    <w:rsid w:val="002831BF"/>
    <w:rsid w:val="0028741E"/>
    <w:rsid w:val="00294183"/>
    <w:rsid w:val="002A1907"/>
    <w:rsid w:val="002A2A35"/>
    <w:rsid w:val="002A3FC1"/>
    <w:rsid w:val="002A5B0F"/>
    <w:rsid w:val="002C0D10"/>
    <w:rsid w:val="002C4CAB"/>
    <w:rsid w:val="002D23E6"/>
    <w:rsid w:val="002D7274"/>
    <w:rsid w:val="002E5B6C"/>
    <w:rsid w:val="002F286B"/>
    <w:rsid w:val="002F4E83"/>
    <w:rsid w:val="003069D4"/>
    <w:rsid w:val="00313DA5"/>
    <w:rsid w:val="00331DED"/>
    <w:rsid w:val="00332EC3"/>
    <w:rsid w:val="003355DD"/>
    <w:rsid w:val="0033611C"/>
    <w:rsid w:val="00341091"/>
    <w:rsid w:val="003552E7"/>
    <w:rsid w:val="00367452"/>
    <w:rsid w:val="00375D74"/>
    <w:rsid w:val="003832C3"/>
    <w:rsid w:val="00384D82"/>
    <w:rsid w:val="003865D1"/>
    <w:rsid w:val="003926D6"/>
    <w:rsid w:val="00395BA4"/>
    <w:rsid w:val="003B6A67"/>
    <w:rsid w:val="003C759E"/>
    <w:rsid w:val="003C79DF"/>
    <w:rsid w:val="003D69AC"/>
    <w:rsid w:val="003E3638"/>
    <w:rsid w:val="003E41D2"/>
    <w:rsid w:val="003F091B"/>
    <w:rsid w:val="003F7FB5"/>
    <w:rsid w:val="00400462"/>
    <w:rsid w:val="004020D4"/>
    <w:rsid w:val="00414ECE"/>
    <w:rsid w:val="00415B06"/>
    <w:rsid w:val="00423D2F"/>
    <w:rsid w:val="00425A64"/>
    <w:rsid w:val="00434DC1"/>
    <w:rsid w:val="0046055B"/>
    <w:rsid w:val="00460D44"/>
    <w:rsid w:val="00461031"/>
    <w:rsid w:val="0046686B"/>
    <w:rsid w:val="0046737C"/>
    <w:rsid w:val="00495375"/>
    <w:rsid w:val="004B375F"/>
    <w:rsid w:val="004B56DA"/>
    <w:rsid w:val="004C5E13"/>
    <w:rsid w:val="004D2ED1"/>
    <w:rsid w:val="004D6DDA"/>
    <w:rsid w:val="004E3635"/>
    <w:rsid w:val="004E3DCA"/>
    <w:rsid w:val="004F51ED"/>
    <w:rsid w:val="00501BF0"/>
    <w:rsid w:val="005066A6"/>
    <w:rsid w:val="00520C69"/>
    <w:rsid w:val="005211CB"/>
    <w:rsid w:val="005256C5"/>
    <w:rsid w:val="005266E5"/>
    <w:rsid w:val="005267AF"/>
    <w:rsid w:val="00527DEF"/>
    <w:rsid w:val="00585223"/>
    <w:rsid w:val="005905F8"/>
    <w:rsid w:val="00590BCF"/>
    <w:rsid w:val="00592309"/>
    <w:rsid w:val="0059298C"/>
    <w:rsid w:val="005B3381"/>
    <w:rsid w:val="005B4C5D"/>
    <w:rsid w:val="005C230B"/>
    <w:rsid w:val="005C72F8"/>
    <w:rsid w:val="005E5D93"/>
    <w:rsid w:val="005E78A3"/>
    <w:rsid w:val="005F4195"/>
    <w:rsid w:val="00606D67"/>
    <w:rsid w:val="00607D6B"/>
    <w:rsid w:val="0062595E"/>
    <w:rsid w:val="0063627E"/>
    <w:rsid w:val="00641561"/>
    <w:rsid w:val="00651770"/>
    <w:rsid w:val="00666257"/>
    <w:rsid w:val="006666DF"/>
    <w:rsid w:val="00670B42"/>
    <w:rsid w:val="00670CB7"/>
    <w:rsid w:val="00672665"/>
    <w:rsid w:val="00672A57"/>
    <w:rsid w:val="00673F00"/>
    <w:rsid w:val="006818AA"/>
    <w:rsid w:val="0069159E"/>
    <w:rsid w:val="00693A3C"/>
    <w:rsid w:val="006A2750"/>
    <w:rsid w:val="006A4777"/>
    <w:rsid w:val="006A5C81"/>
    <w:rsid w:val="006C4556"/>
    <w:rsid w:val="006C51D7"/>
    <w:rsid w:val="006C6DAF"/>
    <w:rsid w:val="006D3752"/>
    <w:rsid w:val="006E0E74"/>
    <w:rsid w:val="006E2462"/>
    <w:rsid w:val="006F2976"/>
    <w:rsid w:val="006F2C5B"/>
    <w:rsid w:val="006F65C5"/>
    <w:rsid w:val="00704828"/>
    <w:rsid w:val="00712F93"/>
    <w:rsid w:val="007164F6"/>
    <w:rsid w:val="0071667F"/>
    <w:rsid w:val="007178F3"/>
    <w:rsid w:val="00721404"/>
    <w:rsid w:val="00722DC9"/>
    <w:rsid w:val="0073019E"/>
    <w:rsid w:val="0073766E"/>
    <w:rsid w:val="00740EE0"/>
    <w:rsid w:val="00741E65"/>
    <w:rsid w:val="00743639"/>
    <w:rsid w:val="007447DF"/>
    <w:rsid w:val="007558DA"/>
    <w:rsid w:val="00763E76"/>
    <w:rsid w:val="00766E0C"/>
    <w:rsid w:val="00772314"/>
    <w:rsid w:val="00775E1A"/>
    <w:rsid w:val="007800E9"/>
    <w:rsid w:val="0078731B"/>
    <w:rsid w:val="00790E93"/>
    <w:rsid w:val="007956C0"/>
    <w:rsid w:val="007B14DC"/>
    <w:rsid w:val="007C26BF"/>
    <w:rsid w:val="007D4612"/>
    <w:rsid w:val="007D4CBA"/>
    <w:rsid w:val="007E61E4"/>
    <w:rsid w:val="007F48E4"/>
    <w:rsid w:val="00814ECF"/>
    <w:rsid w:val="008344CD"/>
    <w:rsid w:val="00840EA9"/>
    <w:rsid w:val="00843997"/>
    <w:rsid w:val="00854CDE"/>
    <w:rsid w:val="00867A7D"/>
    <w:rsid w:val="00870914"/>
    <w:rsid w:val="00876083"/>
    <w:rsid w:val="008962C3"/>
    <w:rsid w:val="0089632D"/>
    <w:rsid w:val="00896972"/>
    <w:rsid w:val="008A2678"/>
    <w:rsid w:val="008B05E1"/>
    <w:rsid w:val="008B2B81"/>
    <w:rsid w:val="008C7F81"/>
    <w:rsid w:val="008E2E3E"/>
    <w:rsid w:val="008E4D36"/>
    <w:rsid w:val="008F2FEF"/>
    <w:rsid w:val="008F5F96"/>
    <w:rsid w:val="0090542E"/>
    <w:rsid w:val="0091059B"/>
    <w:rsid w:val="00920996"/>
    <w:rsid w:val="00920CFB"/>
    <w:rsid w:val="0092564E"/>
    <w:rsid w:val="00934F9B"/>
    <w:rsid w:val="009475F5"/>
    <w:rsid w:val="009570DF"/>
    <w:rsid w:val="009642A2"/>
    <w:rsid w:val="009677D5"/>
    <w:rsid w:val="00984E08"/>
    <w:rsid w:val="00984EF4"/>
    <w:rsid w:val="009A2163"/>
    <w:rsid w:val="009A5359"/>
    <w:rsid w:val="009A74B6"/>
    <w:rsid w:val="009B0F26"/>
    <w:rsid w:val="009C0DFB"/>
    <w:rsid w:val="009C1306"/>
    <w:rsid w:val="009D13CB"/>
    <w:rsid w:val="009D72C0"/>
    <w:rsid w:val="009D7B4E"/>
    <w:rsid w:val="009E079F"/>
    <w:rsid w:val="009E361F"/>
    <w:rsid w:val="009E39AD"/>
    <w:rsid w:val="009E46EB"/>
    <w:rsid w:val="009E5D5D"/>
    <w:rsid w:val="009E5FA3"/>
    <w:rsid w:val="009F7F0B"/>
    <w:rsid w:val="00A07472"/>
    <w:rsid w:val="00A07D20"/>
    <w:rsid w:val="00A12672"/>
    <w:rsid w:val="00A138B6"/>
    <w:rsid w:val="00A13C7A"/>
    <w:rsid w:val="00A17723"/>
    <w:rsid w:val="00A27E57"/>
    <w:rsid w:val="00A4637D"/>
    <w:rsid w:val="00A472FD"/>
    <w:rsid w:val="00A52820"/>
    <w:rsid w:val="00A708A7"/>
    <w:rsid w:val="00A8338A"/>
    <w:rsid w:val="00A8468F"/>
    <w:rsid w:val="00A85910"/>
    <w:rsid w:val="00A85ADB"/>
    <w:rsid w:val="00A92117"/>
    <w:rsid w:val="00A956AC"/>
    <w:rsid w:val="00AC372C"/>
    <w:rsid w:val="00AC6D17"/>
    <w:rsid w:val="00AD682E"/>
    <w:rsid w:val="00AE6568"/>
    <w:rsid w:val="00AF4831"/>
    <w:rsid w:val="00AF5414"/>
    <w:rsid w:val="00B2488A"/>
    <w:rsid w:val="00B27C09"/>
    <w:rsid w:val="00B30EF5"/>
    <w:rsid w:val="00B32E39"/>
    <w:rsid w:val="00B400B6"/>
    <w:rsid w:val="00B4237C"/>
    <w:rsid w:val="00B5474C"/>
    <w:rsid w:val="00B617DA"/>
    <w:rsid w:val="00B62F0C"/>
    <w:rsid w:val="00B7155E"/>
    <w:rsid w:val="00B71B16"/>
    <w:rsid w:val="00B73101"/>
    <w:rsid w:val="00B84EF7"/>
    <w:rsid w:val="00B93E55"/>
    <w:rsid w:val="00BA008F"/>
    <w:rsid w:val="00BA19B6"/>
    <w:rsid w:val="00BA6135"/>
    <w:rsid w:val="00BB4197"/>
    <w:rsid w:val="00BB6A6B"/>
    <w:rsid w:val="00BC0A38"/>
    <w:rsid w:val="00BC297E"/>
    <w:rsid w:val="00BC2E9D"/>
    <w:rsid w:val="00BC5333"/>
    <w:rsid w:val="00BD7F7A"/>
    <w:rsid w:val="00BE2656"/>
    <w:rsid w:val="00BE4EB9"/>
    <w:rsid w:val="00BF3271"/>
    <w:rsid w:val="00C02B8E"/>
    <w:rsid w:val="00C073D9"/>
    <w:rsid w:val="00C14BE5"/>
    <w:rsid w:val="00C2583D"/>
    <w:rsid w:val="00C4681B"/>
    <w:rsid w:val="00C53F92"/>
    <w:rsid w:val="00C55738"/>
    <w:rsid w:val="00C56147"/>
    <w:rsid w:val="00C60BD7"/>
    <w:rsid w:val="00C70624"/>
    <w:rsid w:val="00C730ED"/>
    <w:rsid w:val="00C7387E"/>
    <w:rsid w:val="00C746C3"/>
    <w:rsid w:val="00CA77A2"/>
    <w:rsid w:val="00CA7CAF"/>
    <w:rsid w:val="00CB1014"/>
    <w:rsid w:val="00CB4201"/>
    <w:rsid w:val="00CB4608"/>
    <w:rsid w:val="00CC5712"/>
    <w:rsid w:val="00CD06C4"/>
    <w:rsid w:val="00CD0849"/>
    <w:rsid w:val="00CE7130"/>
    <w:rsid w:val="00CE7929"/>
    <w:rsid w:val="00CF0AE9"/>
    <w:rsid w:val="00CF74F1"/>
    <w:rsid w:val="00D02BDE"/>
    <w:rsid w:val="00D14016"/>
    <w:rsid w:val="00D4513B"/>
    <w:rsid w:val="00D53C33"/>
    <w:rsid w:val="00D56F74"/>
    <w:rsid w:val="00D73992"/>
    <w:rsid w:val="00D83FE8"/>
    <w:rsid w:val="00D85690"/>
    <w:rsid w:val="00D85B69"/>
    <w:rsid w:val="00D8630C"/>
    <w:rsid w:val="00D921ED"/>
    <w:rsid w:val="00DA677D"/>
    <w:rsid w:val="00DA6C98"/>
    <w:rsid w:val="00DB1DA3"/>
    <w:rsid w:val="00DB7D56"/>
    <w:rsid w:val="00DC50B4"/>
    <w:rsid w:val="00DD5963"/>
    <w:rsid w:val="00DD6017"/>
    <w:rsid w:val="00DD67CE"/>
    <w:rsid w:val="00DE02C1"/>
    <w:rsid w:val="00DE2421"/>
    <w:rsid w:val="00DE714D"/>
    <w:rsid w:val="00DF1051"/>
    <w:rsid w:val="00DF2234"/>
    <w:rsid w:val="00DF3103"/>
    <w:rsid w:val="00DF66C3"/>
    <w:rsid w:val="00E02E14"/>
    <w:rsid w:val="00E36664"/>
    <w:rsid w:val="00E36762"/>
    <w:rsid w:val="00E445CC"/>
    <w:rsid w:val="00E478C4"/>
    <w:rsid w:val="00E47E75"/>
    <w:rsid w:val="00E50496"/>
    <w:rsid w:val="00E55639"/>
    <w:rsid w:val="00E5640E"/>
    <w:rsid w:val="00E63378"/>
    <w:rsid w:val="00E65BC0"/>
    <w:rsid w:val="00E764DB"/>
    <w:rsid w:val="00E81733"/>
    <w:rsid w:val="00E8245B"/>
    <w:rsid w:val="00E914B7"/>
    <w:rsid w:val="00EA28C4"/>
    <w:rsid w:val="00EB3720"/>
    <w:rsid w:val="00EB7158"/>
    <w:rsid w:val="00EC0E08"/>
    <w:rsid w:val="00EC1807"/>
    <w:rsid w:val="00EC4EAF"/>
    <w:rsid w:val="00EC66B0"/>
    <w:rsid w:val="00ED6DD5"/>
    <w:rsid w:val="00EE5480"/>
    <w:rsid w:val="00EE557A"/>
    <w:rsid w:val="00EF00C7"/>
    <w:rsid w:val="00EF1E1D"/>
    <w:rsid w:val="00EF25B3"/>
    <w:rsid w:val="00F10721"/>
    <w:rsid w:val="00F14273"/>
    <w:rsid w:val="00F156AD"/>
    <w:rsid w:val="00F17213"/>
    <w:rsid w:val="00F22071"/>
    <w:rsid w:val="00F30FFF"/>
    <w:rsid w:val="00F424F2"/>
    <w:rsid w:val="00F50FC0"/>
    <w:rsid w:val="00F53865"/>
    <w:rsid w:val="00F6759E"/>
    <w:rsid w:val="00F71C14"/>
    <w:rsid w:val="00F72E15"/>
    <w:rsid w:val="00F7615D"/>
    <w:rsid w:val="00F765C8"/>
    <w:rsid w:val="00FA3E3B"/>
    <w:rsid w:val="00FB049D"/>
    <w:rsid w:val="00FC4357"/>
    <w:rsid w:val="00FC524F"/>
    <w:rsid w:val="00FC636A"/>
    <w:rsid w:val="00FD005C"/>
    <w:rsid w:val="00FD6C54"/>
    <w:rsid w:val="00FD73CA"/>
    <w:rsid w:val="00FE4E9A"/>
    <w:rsid w:val="00FE77EF"/>
    <w:rsid w:val="00FF0B86"/>
    <w:rsid w:val="00FF1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3D9A5"/>
  <w15:chartTrackingRefBased/>
  <w15:docId w15:val="{5F7DFB73-2BF9-4539-927C-02828271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A3C"/>
    <w:pPr>
      <w:spacing w:line="259" w:lineRule="auto"/>
    </w:pPr>
    <w:rPr>
      <w:kern w:val="0"/>
      <w:sz w:val="22"/>
      <w:szCs w:val="22"/>
      <w:lang w:eastAsia="ja-JP"/>
      <w14:ligatures w14:val="none"/>
    </w:rPr>
  </w:style>
  <w:style w:type="paragraph" w:styleId="Heading1">
    <w:name w:val="heading 1"/>
    <w:basedOn w:val="Normal"/>
    <w:next w:val="Normal"/>
    <w:link w:val="Heading1Char"/>
    <w:uiPriority w:val="9"/>
    <w:qFormat/>
    <w:rsid w:val="00693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A3C"/>
    <w:rPr>
      <w:rFonts w:eastAsiaTheme="majorEastAsia" w:cstheme="majorBidi"/>
      <w:color w:val="272727" w:themeColor="text1" w:themeTint="D8"/>
    </w:rPr>
  </w:style>
  <w:style w:type="paragraph" w:styleId="Title">
    <w:name w:val="Title"/>
    <w:basedOn w:val="Normal"/>
    <w:next w:val="Normal"/>
    <w:link w:val="TitleChar"/>
    <w:uiPriority w:val="10"/>
    <w:qFormat/>
    <w:rsid w:val="00693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A3C"/>
    <w:pPr>
      <w:spacing w:before="160"/>
      <w:jc w:val="center"/>
    </w:pPr>
    <w:rPr>
      <w:i/>
      <w:iCs/>
      <w:color w:val="404040" w:themeColor="text1" w:themeTint="BF"/>
    </w:rPr>
  </w:style>
  <w:style w:type="character" w:customStyle="1" w:styleId="QuoteChar">
    <w:name w:val="Quote Char"/>
    <w:basedOn w:val="DefaultParagraphFont"/>
    <w:link w:val="Quote"/>
    <w:uiPriority w:val="29"/>
    <w:rsid w:val="00693A3C"/>
    <w:rPr>
      <w:i/>
      <w:iCs/>
      <w:color w:val="404040" w:themeColor="text1" w:themeTint="BF"/>
    </w:rPr>
  </w:style>
  <w:style w:type="paragraph" w:styleId="ListParagraph">
    <w:name w:val="List Paragraph"/>
    <w:basedOn w:val="Normal"/>
    <w:uiPriority w:val="34"/>
    <w:qFormat/>
    <w:rsid w:val="00693A3C"/>
    <w:pPr>
      <w:ind w:left="720"/>
      <w:contextualSpacing/>
    </w:pPr>
  </w:style>
  <w:style w:type="character" w:styleId="IntenseEmphasis">
    <w:name w:val="Intense Emphasis"/>
    <w:basedOn w:val="DefaultParagraphFont"/>
    <w:uiPriority w:val="21"/>
    <w:qFormat/>
    <w:rsid w:val="00693A3C"/>
    <w:rPr>
      <w:i/>
      <w:iCs/>
      <w:color w:val="0F4761" w:themeColor="accent1" w:themeShade="BF"/>
    </w:rPr>
  </w:style>
  <w:style w:type="paragraph" w:styleId="IntenseQuote">
    <w:name w:val="Intense Quote"/>
    <w:basedOn w:val="Normal"/>
    <w:next w:val="Normal"/>
    <w:link w:val="IntenseQuoteChar"/>
    <w:uiPriority w:val="30"/>
    <w:qFormat/>
    <w:rsid w:val="00693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A3C"/>
    <w:rPr>
      <w:i/>
      <w:iCs/>
      <w:color w:val="0F4761" w:themeColor="accent1" w:themeShade="BF"/>
    </w:rPr>
  </w:style>
  <w:style w:type="character" w:styleId="IntenseReference">
    <w:name w:val="Intense Reference"/>
    <w:basedOn w:val="DefaultParagraphFont"/>
    <w:uiPriority w:val="32"/>
    <w:qFormat/>
    <w:rsid w:val="00693A3C"/>
    <w:rPr>
      <w:b/>
      <w:bCs/>
      <w:smallCaps/>
      <w:color w:val="0F4761" w:themeColor="accent1" w:themeShade="BF"/>
      <w:spacing w:val="5"/>
    </w:rPr>
  </w:style>
  <w:style w:type="paragraph" w:styleId="Header">
    <w:name w:val="header"/>
    <w:basedOn w:val="Normal"/>
    <w:link w:val="HeaderChar"/>
    <w:uiPriority w:val="99"/>
    <w:unhideWhenUsed/>
    <w:rsid w:val="00693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A3C"/>
    <w:rPr>
      <w:rFonts w:eastAsiaTheme="minorEastAsia"/>
      <w:kern w:val="0"/>
      <w:sz w:val="22"/>
      <w:szCs w:val="22"/>
      <w:lang w:eastAsia="ja-JP"/>
      <w14:ligatures w14:val="none"/>
    </w:rPr>
  </w:style>
  <w:style w:type="paragraph" w:styleId="Footer">
    <w:name w:val="footer"/>
    <w:basedOn w:val="Normal"/>
    <w:link w:val="FooterChar"/>
    <w:uiPriority w:val="99"/>
    <w:unhideWhenUsed/>
    <w:rsid w:val="00693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A3C"/>
    <w:rPr>
      <w:rFonts w:eastAsiaTheme="minorEastAsia"/>
      <w:kern w:val="0"/>
      <w:sz w:val="22"/>
      <w:szCs w:val="22"/>
      <w:lang w:eastAsia="ja-JP"/>
      <w14:ligatures w14:val="none"/>
    </w:rPr>
  </w:style>
  <w:style w:type="table" w:styleId="TableGrid">
    <w:name w:val="Table Grid"/>
    <w:basedOn w:val="TableNormal"/>
    <w:uiPriority w:val="39"/>
    <w:rsid w:val="00693A3C"/>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5B7A"/>
    <w:rPr>
      <w:color w:val="467886" w:themeColor="hyperlink"/>
      <w:u w:val="single"/>
    </w:rPr>
  </w:style>
  <w:style w:type="character" w:styleId="UnresolvedMention">
    <w:name w:val="Unresolved Mention"/>
    <w:basedOn w:val="DefaultParagraphFont"/>
    <w:uiPriority w:val="99"/>
    <w:semiHidden/>
    <w:unhideWhenUsed/>
    <w:rsid w:val="001A5B7A"/>
    <w:rPr>
      <w:color w:val="605E5C"/>
      <w:shd w:val="clear" w:color="auto" w:fill="E1DFDD"/>
    </w:rPr>
  </w:style>
  <w:style w:type="character" w:styleId="CommentReference">
    <w:name w:val="annotation reference"/>
    <w:basedOn w:val="DefaultParagraphFont"/>
    <w:uiPriority w:val="99"/>
    <w:semiHidden/>
    <w:unhideWhenUsed/>
    <w:rsid w:val="00C746C3"/>
    <w:rPr>
      <w:sz w:val="16"/>
      <w:szCs w:val="16"/>
    </w:rPr>
  </w:style>
  <w:style w:type="paragraph" w:styleId="CommentText">
    <w:name w:val="annotation text"/>
    <w:basedOn w:val="Normal"/>
    <w:link w:val="CommentTextChar"/>
    <w:uiPriority w:val="99"/>
    <w:unhideWhenUsed/>
    <w:rsid w:val="00C746C3"/>
    <w:pPr>
      <w:spacing w:line="240" w:lineRule="auto"/>
    </w:pPr>
    <w:rPr>
      <w:sz w:val="20"/>
      <w:szCs w:val="20"/>
    </w:rPr>
  </w:style>
  <w:style w:type="character" w:customStyle="1" w:styleId="CommentTextChar">
    <w:name w:val="Comment Text Char"/>
    <w:basedOn w:val="DefaultParagraphFont"/>
    <w:link w:val="CommentText"/>
    <w:uiPriority w:val="99"/>
    <w:rsid w:val="00C746C3"/>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C746C3"/>
    <w:rPr>
      <w:b/>
      <w:bCs/>
    </w:rPr>
  </w:style>
  <w:style w:type="character" w:customStyle="1" w:styleId="CommentSubjectChar">
    <w:name w:val="Comment Subject Char"/>
    <w:basedOn w:val="CommentTextChar"/>
    <w:link w:val="CommentSubject"/>
    <w:uiPriority w:val="99"/>
    <w:semiHidden/>
    <w:rsid w:val="00C746C3"/>
    <w:rPr>
      <w:rFonts w:eastAsiaTheme="minorEastAsia"/>
      <w:b/>
      <w:bCs/>
      <w:kern w:val="0"/>
      <w:sz w:val="20"/>
      <w:szCs w:val="20"/>
      <w:lang w:eastAsia="ja-JP"/>
      <w14:ligatures w14:val="none"/>
    </w:rPr>
  </w:style>
  <w:style w:type="paragraph" w:styleId="NormalWeb">
    <w:name w:val="Normal (Web)"/>
    <w:basedOn w:val="Normal"/>
    <w:uiPriority w:val="99"/>
    <w:semiHidden/>
    <w:unhideWhenUsed/>
    <w:rsid w:val="001C56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dc:creator>
  <cp:keywords/>
  <dc:description/>
  <cp:lastModifiedBy>JSI-NgocHM-Research</cp:lastModifiedBy>
  <cp:revision>61</cp:revision>
  <cp:lastPrinted>2026-10-30T09:08:00Z</cp:lastPrinted>
  <dcterms:created xsi:type="dcterms:W3CDTF">2026-10-29T08:25:00Z</dcterms:created>
  <dcterms:modified xsi:type="dcterms:W3CDTF">2026-11-02T08:36:00Z</dcterms:modified>
</cp:coreProperties>
</file>